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389" w:rsidRDefault="00860F1C">
      <w:pPr>
        <w:pStyle w:val="Body"/>
        <w:spacing w:after="0" w:line="240" w:lineRule="auto"/>
        <w:rPr>
          <w:rFonts w:ascii="Times New Roman" w:eastAsia="Times New Roman" w:hAnsi="Times New Roman" w:cs="Times New Roman"/>
          <w:b/>
          <w:bCs/>
          <w:sz w:val="36"/>
          <w:szCs w:val="36"/>
        </w:rPr>
      </w:pPr>
      <w:r>
        <w:rPr>
          <w:noProof/>
          <w:lang w:val="en-US" w:eastAsia="en-US"/>
        </w:rPr>
        <w:drawing>
          <wp:inline distT="0" distB="0" distL="0" distR="0" wp14:anchorId="2499DE0D" wp14:editId="3DE8545E">
            <wp:extent cx="6858000" cy="801625"/>
            <wp:effectExtent l="0" t="0" r="0" b="0"/>
            <wp:docPr id="1073741825" name="officeArt object" descr="BLM_truncated_topo_header.png"/>
            <wp:cNvGraphicFramePr/>
            <a:graphic xmlns:a="http://schemas.openxmlformats.org/drawingml/2006/main">
              <a:graphicData uri="http://schemas.openxmlformats.org/drawingml/2006/picture">
                <pic:pic xmlns:pic="http://schemas.openxmlformats.org/drawingml/2006/picture">
                  <pic:nvPicPr>
                    <pic:cNvPr id="1073741825" name="BLM_truncated_topo_header.png" descr="BLM_truncated_topo_header.png"/>
                    <pic:cNvPicPr>
                      <a:picLocks noChangeAspect="1"/>
                    </pic:cNvPicPr>
                  </pic:nvPicPr>
                  <pic:blipFill>
                    <a:blip r:embed="rId8">
                      <a:extLst/>
                    </a:blip>
                    <a:stretch>
                      <a:fillRect/>
                    </a:stretch>
                  </pic:blipFill>
                  <pic:spPr>
                    <a:xfrm>
                      <a:off x="0" y="0"/>
                      <a:ext cx="6858000" cy="801625"/>
                    </a:xfrm>
                    <a:prstGeom prst="rect">
                      <a:avLst/>
                    </a:prstGeom>
                    <a:ln w="12700" cap="flat">
                      <a:noFill/>
                      <a:miter lim="400000"/>
                    </a:ln>
                    <a:effectLst/>
                  </pic:spPr>
                </pic:pic>
              </a:graphicData>
            </a:graphic>
          </wp:inline>
        </w:drawing>
      </w:r>
      <w:r>
        <w:rPr>
          <w:rFonts w:ascii="Times New Roman" w:hAnsi="Times New Roman"/>
          <w:b/>
          <w:bCs/>
          <w:sz w:val="96"/>
          <w:szCs w:val="96"/>
        </w:rPr>
        <w:t xml:space="preserve"> </w:t>
      </w:r>
      <w:r>
        <w:rPr>
          <w:rFonts w:ascii="Times New Roman" w:hAnsi="Times New Roman"/>
          <w:b/>
          <w:bCs/>
          <w:sz w:val="80"/>
          <w:szCs w:val="80"/>
          <w:lang w:val="en-US"/>
        </w:rPr>
        <w:t>News Release</w:t>
      </w:r>
      <w:r w:rsidR="00AE3B4E">
        <w:rPr>
          <w:rFonts w:ascii="Times New Roman" w:hAnsi="Times New Roman"/>
          <w:b/>
          <w:bCs/>
          <w:sz w:val="80"/>
          <w:szCs w:val="80"/>
          <w:lang w:val="en-US"/>
        </w:rPr>
        <w:t xml:space="preserve"> </w:t>
      </w:r>
      <w:r>
        <w:rPr>
          <w:rFonts w:ascii="Arial Unicode MS" w:eastAsia="Arial Unicode MS" w:hAnsi="Arial Unicode MS" w:cs="Arial Unicode MS"/>
          <w:sz w:val="96"/>
          <w:szCs w:val="96"/>
        </w:rPr>
        <w:br/>
      </w:r>
      <w:r>
        <w:rPr>
          <w:rFonts w:ascii="Times New Roman" w:hAnsi="Times New Roman"/>
          <w:b/>
          <w:bCs/>
          <w:sz w:val="36"/>
          <w:szCs w:val="36"/>
          <w:lang w:val="en-US"/>
        </w:rPr>
        <w:t>Northern California District</w:t>
      </w:r>
    </w:p>
    <w:p w:rsidR="008A3389" w:rsidRDefault="008A3389">
      <w:pPr>
        <w:pStyle w:val="Body"/>
        <w:spacing w:after="0" w:line="240" w:lineRule="auto"/>
        <w:rPr>
          <w:rFonts w:ascii="Times New Roman" w:eastAsia="Times New Roman" w:hAnsi="Times New Roman" w:cs="Times New Roman"/>
          <w:sz w:val="24"/>
          <w:szCs w:val="24"/>
        </w:rPr>
      </w:pPr>
    </w:p>
    <w:p w:rsidR="008A3389" w:rsidRDefault="00860F1C">
      <w:pPr>
        <w:pStyle w:val="Body"/>
        <w:spacing w:after="0" w:line="240" w:lineRule="auto"/>
        <w:rPr>
          <w:rFonts w:ascii="Times New Roman" w:eastAsia="Times New Roman" w:hAnsi="Times New Roman" w:cs="Times New Roman"/>
          <w:sz w:val="24"/>
          <w:szCs w:val="24"/>
        </w:rPr>
      </w:pPr>
      <w:r>
        <w:rPr>
          <w:rFonts w:ascii="Times New Roman" w:hAnsi="Times New Roman"/>
          <w:sz w:val="24"/>
          <w:szCs w:val="24"/>
          <w:lang w:val="en-US"/>
        </w:rPr>
        <w:t xml:space="preserve">For Immediate Release: </w:t>
      </w:r>
      <w:r w:rsidR="00FC5556">
        <w:rPr>
          <w:rFonts w:ascii="Times New Roman" w:hAnsi="Times New Roman"/>
          <w:sz w:val="24"/>
          <w:szCs w:val="24"/>
          <w:lang w:val="en-US"/>
        </w:rPr>
        <w:t xml:space="preserve">Oct. </w:t>
      </w:r>
      <w:r w:rsidR="00680BC3">
        <w:rPr>
          <w:rFonts w:ascii="Times New Roman" w:hAnsi="Times New Roman"/>
          <w:sz w:val="24"/>
          <w:szCs w:val="24"/>
          <w:lang w:val="en-US"/>
        </w:rPr>
        <w:t>11</w:t>
      </w:r>
      <w:r w:rsidR="00FC5556">
        <w:rPr>
          <w:rFonts w:ascii="Times New Roman" w:hAnsi="Times New Roman"/>
          <w:sz w:val="24"/>
          <w:szCs w:val="24"/>
          <w:lang w:val="en-US"/>
        </w:rPr>
        <w:t>,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CA-N-</w:t>
      </w:r>
      <w:r w:rsidR="00FC5556">
        <w:rPr>
          <w:rFonts w:ascii="Times New Roman" w:hAnsi="Times New Roman"/>
          <w:sz w:val="24"/>
          <w:szCs w:val="24"/>
        </w:rPr>
        <w:t>18-</w:t>
      </w:r>
      <w:r w:rsidR="00890C55">
        <w:rPr>
          <w:rFonts w:ascii="Times New Roman" w:hAnsi="Times New Roman"/>
          <w:sz w:val="24"/>
          <w:szCs w:val="24"/>
        </w:rPr>
        <w:t>60</w:t>
      </w:r>
    </w:p>
    <w:p w:rsidR="008A3389" w:rsidRDefault="00860F1C">
      <w:pPr>
        <w:pStyle w:val="Body"/>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sz w:val="24"/>
          <w:szCs w:val="24"/>
          <w:lang w:val="de-DE"/>
        </w:rPr>
      </w:pPr>
      <w:r>
        <w:rPr>
          <w:rFonts w:ascii="Times New Roman" w:hAnsi="Times New Roman"/>
          <w:sz w:val="24"/>
          <w:szCs w:val="24"/>
          <w:lang w:val="de-DE"/>
        </w:rPr>
        <w:t>Contact: Jeff Fontana</w:t>
      </w:r>
      <w:r w:rsidR="004F34F3">
        <w:rPr>
          <w:rFonts w:ascii="Times New Roman" w:hAnsi="Times New Roman"/>
          <w:sz w:val="24"/>
          <w:szCs w:val="24"/>
          <w:lang w:val="de-DE"/>
        </w:rPr>
        <w:t>,</w:t>
      </w:r>
      <w:r>
        <w:rPr>
          <w:rFonts w:ascii="Times New Roman" w:hAnsi="Times New Roman"/>
          <w:sz w:val="24"/>
          <w:szCs w:val="24"/>
          <w:lang w:val="de-DE"/>
        </w:rPr>
        <w:t xml:space="preserve"> </w:t>
      </w:r>
      <w:hyperlink r:id="rId9" w:history="1">
        <w:r w:rsidR="00680BC3" w:rsidRPr="00277199">
          <w:rPr>
            <w:rStyle w:val="Hyperlink"/>
            <w:rFonts w:ascii="Times New Roman" w:hAnsi="Times New Roman"/>
            <w:sz w:val="24"/>
            <w:szCs w:val="24"/>
            <w:lang w:val="de-DE"/>
          </w:rPr>
          <w:t>jfontana@blm.gov</w:t>
        </w:r>
      </w:hyperlink>
      <w:r w:rsidR="00680BC3">
        <w:rPr>
          <w:rFonts w:ascii="Times New Roman" w:hAnsi="Times New Roman"/>
          <w:sz w:val="24"/>
          <w:szCs w:val="24"/>
          <w:lang w:val="de-DE"/>
        </w:rPr>
        <w:t xml:space="preserve">, </w:t>
      </w:r>
      <w:r>
        <w:rPr>
          <w:rFonts w:ascii="Times New Roman" w:hAnsi="Times New Roman"/>
          <w:sz w:val="24"/>
          <w:szCs w:val="24"/>
          <w:lang w:val="de-DE"/>
        </w:rPr>
        <w:t>530</w:t>
      </w:r>
      <w:r w:rsidR="004F34F3">
        <w:rPr>
          <w:rFonts w:ascii="Times New Roman" w:hAnsi="Times New Roman"/>
          <w:sz w:val="24"/>
          <w:szCs w:val="24"/>
          <w:lang w:val="de-DE"/>
        </w:rPr>
        <w:t>-</w:t>
      </w:r>
      <w:r>
        <w:rPr>
          <w:rFonts w:ascii="Times New Roman" w:hAnsi="Times New Roman"/>
          <w:sz w:val="24"/>
          <w:szCs w:val="24"/>
          <w:lang w:val="de-DE"/>
        </w:rPr>
        <w:t>252-5332</w:t>
      </w:r>
    </w:p>
    <w:p w:rsidR="00D05827" w:rsidRDefault="00D05827">
      <w:pPr>
        <w:pStyle w:val="Body"/>
        <w:tabs>
          <w:tab w:val="left" w:pos="720"/>
          <w:tab w:val="left" w:pos="1440"/>
          <w:tab w:val="left" w:pos="2160"/>
          <w:tab w:val="left" w:pos="2880"/>
          <w:tab w:val="left" w:pos="3600"/>
          <w:tab w:val="left" w:pos="4320"/>
          <w:tab w:val="left" w:pos="5040"/>
          <w:tab w:val="left" w:pos="5760"/>
        </w:tabs>
        <w:spacing w:after="0" w:line="240" w:lineRule="auto"/>
        <w:rPr>
          <w:rFonts w:ascii="Times New Roman" w:eastAsia="Times New Roman" w:hAnsi="Times New Roman" w:cs="Times New Roman"/>
          <w:sz w:val="24"/>
          <w:szCs w:val="24"/>
        </w:rPr>
      </w:pPr>
    </w:p>
    <w:p w:rsidR="00A531D7" w:rsidRPr="00A531D7" w:rsidRDefault="00890C55" w:rsidP="00A531D7">
      <w:pPr>
        <w:pStyle w:val="Body"/>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BLM plans fall prescribed burning projects in northwest California</w:t>
      </w:r>
    </w:p>
    <w:p w:rsidR="00D05827" w:rsidRDefault="00DE7F4F" w:rsidP="00890C55">
      <w:pPr>
        <w:pStyle w:val="Body"/>
        <w:rPr>
          <w:rFonts w:ascii="Times New Roman" w:eastAsia="Times New Roman" w:hAnsi="Times New Roman" w:cs="Times New Roman"/>
          <w:sz w:val="24"/>
          <w:szCs w:val="24"/>
        </w:rPr>
      </w:pPr>
      <w:r w:rsidRPr="00FC5556">
        <w:rPr>
          <w:rFonts w:ascii="Times New Roman" w:eastAsia="Times New Roman" w:hAnsi="Times New Roman" w:cs="Times New Roman"/>
          <w:b/>
          <w:sz w:val="24"/>
          <w:szCs w:val="24"/>
        </w:rPr>
        <w:t>REDDING</w:t>
      </w:r>
      <w:r w:rsidR="00A531D7" w:rsidRPr="00FC5556">
        <w:rPr>
          <w:rFonts w:ascii="Times New Roman" w:eastAsia="Times New Roman" w:hAnsi="Times New Roman" w:cs="Times New Roman"/>
          <w:b/>
          <w:sz w:val="24"/>
          <w:szCs w:val="24"/>
        </w:rPr>
        <w:t>, Calif.</w:t>
      </w:r>
      <w:r w:rsidR="00A531D7" w:rsidRPr="00A531D7">
        <w:rPr>
          <w:rFonts w:ascii="Times New Roman" w:eastAsia="Times New Roman" w:hAnsi="Times New Roman" w:cs="Times New Roman"/>
          <w:sz w:val="24"/>
          <w:szCs w:val="24"/>
        </w:rPr>
        <w:t xml:space="preserve"> </w:t>
      </w:r>
      <w:r w:rsidR="00890C55">
        <w:rPr>
          <w:rFonts w:ascii="Times New Roman" w:eastAsia="Times New Roman" w:hAnsi="Times New Roman" w:cs="Times New Roman"/>
          <w:sz w:val="24"/>
          <w:szCs w:val="24"/>
        </w:rPr>
        <w:t>–</w:t>
      </w:r>
      <w:r w:rsidR="00A531D7" w:rsidRPr="00A531D7">
        <w:rPr>
          <w:rFonts w:ascii="Times New Roman" w:eastAsia="Times New Roman" w:hAnsi="Times New Roman" w:cs="Times New Roman"/>
          <w:sz w:val="24"/>
          <w:szCs w:val="24"/>
        </w:rPr>
        <w:t xml:space="preserve"> </w:t>
      </w:r>
      <w:r w:rsidR="00890C55">
        <w:rPr>
          <w:rFonts w:ascii="Times New Roman" w:eastAsia="Times New Roman" w:hAnsi="Times New Roman" w:cs="Times New Roman"/>
          <w:sz w:val="24"/>
          <w:szCs w:val="24"/>
        </w:rPr>
        <w:t xml:space="preserve">The Bureau of </w:t>
      </w:r>
      <w:bookmarkStart w:id="0" w:name="_GoBack"/>
      <w:bookmarkEnd w:id="0"/>
      <w:r w:rsidR="00890C55">
        <w:rPr>
          <w:rFonts w:ascii="Times New Roman" w:eastAsia="Times New Roman" w:hAnsi="Times New Roman" w:cs="Times New Roman"/>
          <w:sz w:val="24"/>
          <w:szCs w:val="24"/>
        </w:rPr>
        <w:t xml:space="preserve">Land Management is planning prescribed burning projects </w:t>
      </w:r>
      <w:r w:rsidR="00234BD8">
        <w:rPr>
          <w:rFonts w:ascii="Times New Roman" w:eastAsia="Times New Roman" w:hAnsi="Times New Roman" w:cs="Times New Roman"/>
          <w:sz w:val="24"/>
          <w:szCs w:val="24"/>
        </w:rPr>
        <w:t>starting this fall and continuing into spring,</w:t>
      </w:r>
      <w:r w:rsidR="00890C55">
        <w:rPr>
          <w:rFonts w:ascii="Times New Roman" w:eastAsia="Times New Roman" w:hAnsi="Times New Roman" w:cs="Times New Roman"/>
          <w:sz w:val="24"/>
          <w:szCs w:val="24"/>
        </w:rPr>
        <w:t xml:space="preserve"> on public lands in Shasta, Butte, Tehama and Trinity counties.  </w:t>
      </w:r>
      <w:r w:rsidR="0061609D">
        <w:rPr>
          <w:rFonts w:ascii="Times New Roman" w:eastAsia="Times New Roman" w:hAnsi="Times New Roman" w:cs="Times New Roman"/>
          <w:sz w:val="24"/>
          <w:szCs w:val="24"/>
        </w:rPr>
        <w:t xml:space="preserve">Crews will ignite the pile burns and broadcast burns only </w:t>
      </w:r>
      <w:r w:rsidR="00890C55">
        <w:rPr>
          <w:rFonts w:ascii="Times New Roman" w:eastAsia="Times New Roman" w:hAnsi="Times New Roman" w:cs="Times New Roman"/>
          <w:sz w:val="24"/>
          <w:szCs w:val="24"/>
        </w:rPr>
        <w:t>when weather conditions allow for safe and successful burning and smoke dispersion.</w:t>
      </w:r>
    </w:p>
    <w:p w:rsidR="0061609D" w:rsidRDefault="0061609D"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“All of these projects are part of our commitment to sustaining public lands important to our communities,” said BLM Redding Field Manager Jennifer Mata.  “We are committed to keeping public lands healthy, productive and accessible.”</w:t>
      </w:r>
    </w:p>
    <w:p w:rsidR="00890C55" w:rsidRDefault="00890C55"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81-acre project in the Weaverville Community Forest could begin during the week of Oct. 15.  </w:t>
      </w:r>
      <w:r w:rsidR="00234BD8">
        <w:rPr>
          <w:rFonts w:ascii="Times New Roman" w:eastAsia="Times New Roman" w:hAnsi="Times New Roman" w:cs="Times New Roman"/>
          <w:sz w:val="24"/>
          <w:szCs w:val="24"/>
        </w:rPr>
        <w:t>Crews will use</w:t>
      </w:r>
      <w:r w:rsidR="00531D3D">
        <w:rPr>
          <w:rFonts w:ascii="Times New Roman" w:eastAsia="Times New Roman" w:hAnsi="Times New Roman" w:cs="Times New Roman"/>
          <w:sz w:val="24"/>
          <w:szCs w:val="24"/>
        </w:rPr>
        <w:t xml:space="preserve"> a broadcast</w:t>
      </w:r>
      <w:r w:rsidR="00234BD8">
        <w:rPr>
          <w:rFonts w:ascii="Times New Roman" w:eastAsia="Times New Roman" w:hAnsi="Times New Roman" w:cs="Times New Roman"/>
          <w:sz w:val="24"/>
          <w:szCs w:val="24"/>
        </w:rPr>
        <w:t xml:space="preserve"> burn</w:t>
      </w:r>
      <w:r w:rsidR="00531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remove small branches and brush left over from forest thinning projects.  The carefully managed, low-intensity fire will reduce wildfire danger and improve forest health.</w:t>
      </w:r>
    </w:p>
    <w:p w:rsidR="00890C55" w:rsidRDefault="00890C55"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The BLM and Trinity County Resource Con</w:t>
      </w:r>
      <w:r w:rsidR="00F5373E">
        <w:rPr>
          <w:rFonts w:ascii="Times New Roman" w:eastAsia="Times New Roman" w:hAnsi="Times New Roman" w:cs="Times New Roman"/>
          <w:sz w:val="24"/>
          <w:szCs w:val="24"/>
        </w:rPr>
        <w:t>servation District manage the 9</w:t>
      </w:r>
      <w:r>
        <w:rPr>
          <w:rFonts w:ascii="Times New Roman" w:eastAsia="Times New Roman" w:hAnsi="Times New Roman" w:cs="Times New Roman"/>
          <w:sz w:val="24"/>
          <w:szCs w:val="24"/>
        </w:rPr>
        <w:t xml:space="preserve">00-acre Trinity County forest in a partnership to </w:t>
      </w:r>
      <w:r w:rsidR="00531D3D">
        <w:rPr>
          <w:rFonts w:ascii="Times New Roman" w:eastAsia="Times New Roman" w:hAnsi="Times New Roman" w:cs="Times New Roman"/>
          <w:sz w:val="24"/>
          <w:szCs w:val="24"/>
        </w:rPr>
        <w:t>maintain</w:t>
      </w:r>
      <w:r>
        <w:rPr>
          <w:rFonts w:ascii="Times New Roman" w:eastAsia="Times New Roman" w:hAnsi="Times New Roman" w:cs="Times New Roman"/>
          <w:sz w:val="24"/>
          <w:szCs w:val="24"/>
        </w:rPr>
        <w:t xml:space="preserve"> open recreational space and to provide forest products including lumber and firewood.</w:t>
      </w:r>
    </w:p>
    <w:p w:rsidR="00890C55" w:rsidRDefault="00890C55"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Also in Trinity County, crews plan to complete the Big Creek prescribed fire at Ewing Reservoir near the community of Hayfork.  The fire will improve oak woodland wildlife habitat and expand existing fuel breaks that help provide wildfire protection for the community.</w:t>
      </w:r>
    </w:p>
    <w:p w:rsidR="00F5373E" w:rsidRDefault="00F5373E"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Crews will also burn several slash piles</w:t>
      </w:r>
      <w:r w:rsidR="00234BD8">
        <w:rPr>
          <w:rFonts w:ascii="Times New Roman" w:eastAsia="Times New Roman" w:hAnsi="Times New Roman" w:cs="Times New Roman"/>
          <w:sz w:val="24"/>
          <w:szCs w:val="24"/>
        </w:rPr>
        <w:t xml:space="preserve"> along Mainline Road and Browns</w:t>
      </w:r>
      <w:r>
        <w:rPr>
          <w:rFonts w:ascii="Times New Roman" w:eastAsia="Times New Roman" w:hAnsi="Times New Roman" w:cs="Times New Roman"/>
          <w:sz w:val="24"/>
          <w:szCs w:val="24"/>
        </w:rPr>
        <w:t xml:space="preserve"> Mountain Road in Trinity County.  The piles are from forest thinning projects completed earlier this year.</w:t>
      </w:r>
    </w:p>
    <w:p w:rsidR="00890C55" w:rsidRDefault="005C3083" w:rsidP="00890C55">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BLM </w:t>
      </w:r>
      <w:r w:rsidR="00F72260">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plans burning projects in the Upper Ridge Nature Preserve near the community of Magalia in Butte County.  </w:t>
      </w:r>
      <w:r w:rsidR="00234BD8">
        <w:rPr>
          <w:rFonts w:ascii="Times New Roman" w:eastAsia="Times New Roman" w:hAnsi="Times New Roman" w:cs="Times New Roman"/>
          <w:sz w:val="24"/>
          <w:szCs w:val="24"/>
        </w:rPr>
        <w:t xml:space="preserve">Crews will </w:t>
      </w:r>
      <w:r w:rsidR="00F5373E">
        <w:rPr>
          <w:rFonts w:ascii="Times New Roman" w:eastAsia="Times New Roman" w:hAnsi="Times New Roman" w:cs="Times New Roman"/>
          <w:sz w:val="24"/>
          <w:szCs w:val="24"/>
        </w:rPr>
        <w:t xml:space="preserve">implement a </w:t>
      </w:r>
      <w:r w:rsidR="00C95A35">
        <w:rPr>
          <w:rFonts w:ascii="Times New Roman" w:eastAsia="Times New Roman" w:hAnsi="Times New Roman" w:cs="Times New Roman"/>
          <w:sz w:val="24"/>
          <w:szCs w:val="24"/>
        </w:rPr>
        <w:t xml:space="preserve">five-acre broadcast burn and burn piles </w:t>
      </w:r>
      <w:r w:rsidR="00234BD8">
        <w:rPr>
          <w:rFonts w:ascii="Times New Roman" w:eastAsia="Times New Roman" w:hAnsi="Times New Roman" w:cs="Times New Roman"/>
          <w:sz w:val="24"/>
          <w:szCs w:val="24"/>
        </w:rPr>
        <w:t>of brush and limbs</w:t>
      </w:r>
      <w:r>
        <w:rPr>
          <w:rFonts w:ascii="Times New Roman" w:eastAsia="Times New Roman" w:hAnsi="Times New Roman" w:cs="Times New Roman"/>
          <w:sz w:val="24"/>
          <w:szCs w:val="24"/>
        </w:rPr>
        <w:t xml:space="preserve"> when weather conditions are favorable.</w:t>
      </w:r>
      <w:r w:rsidR="00531D3D">
        <w:rPr>
          <w:rFonts w:ascii="Times New Roman" w:eastAsia="Times New Roman" w:hAnsi="Times New Roman" w:cs="Times New Roman"/>
          <w:sz w:val="24"/>
          <w:szCs w:val="24"/>
        </w:rPr>
        <w:t xml:space="preserve"> The burns will improve wildlife habitat and reduce wildfire risk.</w:t>
      </w:r>
    </w:p>
    <w:p w:rsidR="005C3083" w:rsidRDefault="005C3083" w:rsidP="005C3083">
      <w:pPr>
        <w:pStyle w:val="Body"/>
        <w:rPr>
          <w:rFonts w:ascii="Times New Roman" w:eastAsia="Times New Roman" w:hAnsi="Times New Roman" w:cs="Times New Roman"/>
          <w:sz w:val="24"/>
          <w:szCs w:val="24"/>
        </w:rPr>
      </w:pPr>
      <w:r w:rsidRPr="00F5373E">
        <w:rPr>
          <w:rFonts w:ascii="Times New Roman" w:eastAsia="Times New Roman" w:hAnsi="Times New Roman" w:cs="Times New Roman"/>
          <w:sz w:val="24"/>
          <w:szCs w:val="24"/>
        </w:rPr>
        <w:t xml:space="preserve">The Butte Thin prescribed fire project, also in Butte County, </w:t>
      </w:r>
      <w:r w:rsidR="00F5373E" w:rsidRPr="00F5373E">
        <w:rPr>
          <w:rFonts w:ascii="Times New Roman" w:eastAsia="Times New Roman" w:hAnsi="Times New Roman" w:cs="Times New Roman"/>
          <w:sz w:val="24"/>
          <w:szCs w:val="24"/>
        </w:rPr>
        <w:t xml:space="preserve">will include a </w:t>
      </w:r>
      <w:r w:rsidRPr="00F5373E">
        <w:rPr>
          <w:rFonts w:ascii="Times New Roman" w:eastAsia="Times New Roman" w:hAnsi="Times New Roman" w:cs="Times New Roman"/>
          <w:sz w:val="24"/>
          <w:szCs w:val="24"/>
        </w:rPr>
        <w:t>70-acre understory burn north of DeSalba within a 131-acre forest thinning proj</w:t>
      </w:r>
      <w:r w:rsidR="00F5373E" w:rsidRPr="00F5373E">
        <w:rPr>
          <w:rFonts w:ascii="Times New Roman" w:eastAsia="Times New Roman" w:hAnsi="Times New Roman" w:cs="Times New Roman"/>
          <w:sz w:val="24"/>
          <w:szCs w:val="24"/>
        </w:rPr>
        <w:t xml:space="preserve">ect completed several years ago.  Crews will also continue pile burning in the same area. </w:t>
      </w:r>
      <w:r w:rsidR="00C95A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projects are designed to reduce wildfire risk to the communities and watershed by creating shaded fuel breaks along Garland and Doe Mill roads.</w:t>
      </w:r>
    </w:p>
    <w:p w:rsidR="00F72260" w:rsidRDefault="00F72260" w:rsidP="005C3083">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 Tehama County, BLM crews plan to burn slash piles along Ponderosa Way in the Campbellville </w:t>
      </w:r>
      <w:r w:rsidR="00DF1744">
        <w:rPr>
          <w:rFonts w:ascii="Times New Roman" w:eastAsia="Times New Roman" w:hAnsi="Times New Roman" w:cs="Times New Roman"/>
          <w:sz w:val="24"/>
          <w:szCs w:val="24"/>
        </w:rPr>
        <w:t>area.  The piles were created during earlier forest thinning projects.</w:t>
      </w:r>
    </w:p>
    <w:p w:rsidR="005C3083" w:rsidRDefault="005C3083" w:rsidP="005C3083">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Crews will also work on pile burning projects to reduce hazardous fuels alon</w:t>
      </w:r>
      <w:r w:rsidR="00531D3D">
        <w:rPr>
          <w:rFonts w:ascii="Times New Roman" w:eastAsia="Times New Roman" w:hAnsi="Times New Roman" w:cs="Times New Roman"/>
          <w:sz w:val="24"/>
          <w:szCs w:val="24"/>
        </w:rPr>
        <w:t>g recreational trail</w:t>
      </w:r>
      <w:r w:rsidR="00C95A35">
        <w:rPr>
          <w:rFonts w:ascii="Times New Roman" w:eastAsia="Times New Roman" w:hAnsi="Times New Roman" w:cs="Times New Roman"/>
          <w:sz w:val="24"/>
          <w:szCs w:val="24"/>
        </w:rPr>
        <w:t>s</w:t>
      </w:r>
      <w:r w:rsidR="00531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 Shasta County.  Project areas include the Chappie-Shasta OHV Area</w:t>
      </w:r>
      <w:r w:rsidR="0061609D">
        <w:rPr>
          <w:rFonts w:ascii="Times New Roman" w:eastAsia="Times New Roman" w:hAnsi="Times New Roman" w:cs="Times New Roman"/>
          <w:sz w:val="24"/>
          <w:szCs w:val="24"/>
        </w:rPr>
        <w:t xml:space="preserve"> north of French Gulch, the Sacramento River Rail Trail, Swasey Recreation Area and Cloverdale Recreation Area.  Workers will thin vegetation in 25-foot-wide swaths along the trails and </w:t>
      </w:r>
      <w:r w:rsidR="00F72260">
        <w:rPr>
          <w:rFonts w:ascii="Times New Roman" w:eastAsia="Times New Roman" w:hAnsi="Times New Roman" w:cs="Times New Roman"/>
          <w:sz w:val="24"/>
          <w:szCs w:val="24"/>
        </w:rPr>
        <w:t xml:space="preserve">burn piles of </w:t>
      </w:r>
      <w:r w:rsidR="0061609D">
        <w:rPr>
          <w:rFonts w:ascii="Times New Roman" w:eastAsia="Times New Roman" w:hAnsi="Times New Roman" w:cs="Times New Roman"/>
          <w:sz w:val="24"/>
          <w:szCs w:val="24"/>
        </w:rPr>
        <w:t>brush and small trees removed during the work.</w:t>
      </w:r>
    </w:p>
    <w:p w:rsidR="00531D3D" w:rsidRDefault="00531D3D" w:rsidP="005C3083">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Smoke may be visible from nearby communities during the projects.</w:t>
      </w:r>
    </w:p>
    <w:p w:rsidR="00531D3D" w:rsidRDefault="00531D3D" w:rsidP="005C3083">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information is available from the BLM Redding Field Office at 530-224-2100.</w:t>
      </w:r>
    </w:p>
    <w:p w:rsidR="00DE7F4F" w:rsidRDefault="00DE7F4F" w:rsidP="00DE7F4F">
      <w:pPr>
        <w:spacing w:before="240"/>
        <w:rPr>
          <w:rFonts w:eastAsia="Times New Roman"/>
        </w:rPr>
      </w:pPr>
    </w:p>
    <w:p w:rsidR="00A531D7" w:rsidRDefault="00FC5556" w:rsidP="00D42590">
      <w:pPr>
        <w:pStyle w:val="Body"/>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A531D7" w:rsidRPr="00D42590">
        <w:rPr>
          <w:rFonts w:ascii="Times New Roman" w:eastAsia="Times New Roman" w:hAnsi="Times New Roman" w:cs="Times New Roman"/>
          <w:b/>
          <w:sz w:val="24"/>
          <w:szCs w:val="24"/>
        </w:rPr>
        <w:t>BLM-</w:t>
      </w:r>
    </w:p>
    <w:p w:rsidR="00D05827" w:rsidRPr="00FC5556" w:rsidRDefault="00FC5556" w:rsidP="00FC5556">
      <w:pPr>
        <w:pStyle w:val="Body"/>
        <w:rPr>
          <w:rFonts w:ascii="Times New Roman" w:eastAsia="Times New Roman" w:hAnsi="Times New Roman" w:cs="Times New Roman"/>
          <w:i/>
          <w:sz w:val="24"/>
          <w:szCs w:val="24"/>
        </w:rPr>
      </w:pPr>
      <w:r w:rsidRPr="00FC5556">
        <w:rPr>
          <w:rFonts w:ascii="Times New Roman" w:eastAsia="Times New Roman" w:hAnsi="Times New Roman" w:cs="Times New Roman"/>
          <w:i/>
          <w:sz w:val="24"/>
          <w:szCs w:val="24"/>
        </w:rPr>
        <w:t>The BLM manages more than 245 million acres of public land located primarily in 12 Western states, including Alaska. The BLM also administers 700 million acres of sub-surface mineral estate throughout the nation. The agency’s mission is to sustain the health, diversity, and productivity of America’s public lands for the use and enjoyment of present and future generations. Diverse activities authorized on these lands generated $96 billion in sales of goods and services throughout the American economy in fiscal year 2017. These activities supported more than 468,000 jobs.</w:t>
      </w:r>
    </w:p>
    <w:p w:rsidR="00A531D7" w:rsidRDefault="00A531D7" w:rsidP="00B84B7D">
      <w:pPr>
        <w:pStyle w:val="Body"/>
        <w:rPr>
          <w:rFonts w:ascii="Times New Roman" w:eastAsia="Times New Roman" w:hAnsi="Times New Roman" w:cs="Times New Roman"/>
          <w:sz w:val="24"/>
          <w:szCs w:val="24"/>
        </w:rPr>
      </w:pPr>
    </w:p>
    <w:p w:rsidR="00A531D7" w:rsidRPr="00A531D7" w:rsidRDefault="00A531D7" w:rsidP="00B84B7D">
      <w:pPr>
        <w:pStyle w:val="Body"/>
        <w:rPr>
          <w:rFonts w:ascii="Times New Roman" w:eastAsia="Times New Roman" w:hAnsi="Times New Roman" w:cs="Times New Roman"/>
          <w:sz w:val="24"/>
          <w:szCs w:val="24"/>
        </w:rPr>
      </w:pPr>
    </w:p>
    <w:p w:rsidR="00454BE7" w:rsidRDefault="00454BE7" w:rsidP="00B84B7D">
      <w:pPr>
        <w:pStyle w:val="Body"/>
        <w:spacing w:after="0" w:line="240" w:lineRule="auto"/>
        <w:rPr>
          <w:rFonts w:ascii="Times New Roman" w:eastAsia="Times New Roman" w:hAnsi="Times New Roman" w:cs="Times New Roman"/>
          <w:sz w:val="24"/>
          <w:szCs w:val="24"/>
        </w:rPr>
      </w:pPr>
    </w:p>
    <w:p w:rsidR="00454BE7" w:rsidRPr="00FC5556" w:rsidRDefault="00454BE7" w:rsidP="00D42590">
      <w:pPr>
        <w:pStyle w:val="Body"/>
        <w:spacing w:after="0" w:line="240" w:lineRule="auto"/>
        <w:jc w:val="center"/>
        <w:rPr>
          <w:rFonts w:ascii="Times New Roman" w:eastAsia="Times New Roman" w:hAnsi="Times New Roman" w:cs="Times New Roman"/>
          <w:b/>
          <w:i/>
          <w:sz w:val="20"/>
          <w:szCs w:val="20"/>
        </w:rPr>
      </w:pPr>
      <w:r w:rsidRPr="00FC5556">
        <w:rPr>
          <w:rFonts w:ascii="Times New Roman" w:eastAsia="Times New Roman" w:hAnsi="Times New Roman" w:cs="Times New Roman"/>
          <w:b/>
          <w:i/>
          <w:sz w:val="20"/>
          <w:szCs w:val="20"/>
        </w:rPr>
        <w:t>Northern California District Office     6</w:t>
      </w:r>
      <w:r w:rsidR="00D42590" w:rsidRPr="00FC5556">
        <w:rPr>
          <w:rFonts w:ascii="Times New Roman" w:eastAsia="Times New Roman" w:hAnsi="Times New Roman" w:cs="Times New Roman"/>
          <w:b/>
          <w:i/>
          <w:sz w:val="20"/>
          <w:szCs w:val="20"/>
        </w:rPr>
        <w:t>6</w:t>
      </w:r>
      <w:r w:rsidRPr="00FC5556">
        <w:rPr>
          <w:rFonts w:ascii="Times New Roman" w:eastAsia="Times New Roman" w:hAnsi="Times New Roman" w:cs="Times New Roman"/>
          <w:b/>
          <w:i/>
          <w:sz w:val="20"/>
          <w:szCs w:val="20"/>
        </w:rPr>
        <w:t>40 Lockheed Dr.     Redding, CA  96002</w:t>
      </w:r>
    </w:p>
    <w:sectPr w:rsidR="00454BE7" w:rsidRPr="00FC5556">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8C" w:rsidRDefault="00860F1C">
      <w:r>
        <w:separator/>
      </w:r>
    </w:p>
  </w:endnote>
  <w:endnote w:type="continuationSeparator" w:id="0">
    <w:p w:rsidR="00C5468C" w:rsidRDefault="0086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F4" w:rsidRDefault="00E855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389" w:rsidRDefault="008A3389">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F4" w:rsidRDefault="00E85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8C" w:rsidRDefault="00860F1C">
      <w:r>
        <w:separator/>
      </w:r>
    </w:p>
  </w:footnote>
  <w:footnote w:type="continuationSeparator" w:id="0">
    <w:p w:rsidR="00C5468C" w:rsidRDefault="00860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F4" w:rsidRDefault="00E85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389" w:rsidRDefault="008A3389">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F4" w:rsidRDefault="00E855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3C3C1C"/>
    <w:multiLevelType w:val="hybridMultilevel"/>
    <w:tmpl w:val="5EE294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08652CE"/>
    <w:multiLevelType w:val="hybridMultilevel"/>
    <w:tmpl w:val="1068A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389"/>
    <w:rsid w:val="000704B6"/>
    <w:rsid w:val="000863DA"/>
    <w:rsid w:val="00107274"/>
    <w:rsid w:val="00114758"/>
    <w:rsid w:val="00154D63"/>
    <w:rsid w:val="00182643"/>
    <w:rsid w:val="001B5379"/>
    <w:rsid w:val="001E2AFD"/>
    <w:rsid w:val="00234BD8"/>
    <w:rsid w:val="0029574C"/>
    <w:rsid w:val="0029740D"/>
    <w:rsid w:val="002F0812"/>
    <w:rsid w:val="003B774F"/>
    <w:rsid w:val="003F275E"/>
    <w:rsid w:val="003F4957"/>
    <w:rsid w:val="00405AFF"/>
    <w:rsid w:val="00454BE7"/>
    <w:rsid w:val="00470916"/>
    <w:rsid w:val="004731CD"/>
    <w:rsid w:val="004F22D1"/>
    <w:rsid w:val="004F34F3"/>
    <w:rsid w:val="00500495"/>
    <w:rsid w:val="00511DD9"/>
    <w:rsid w:val="005148E0"/>
    <w:rsid w:val="00516326"/>
    <w:rsid w:val="005176D8"/>
    <w:rsid w:val="005278A7"/>
    <w:rsid w:val="00531D3D"/>
    <w:rsid w:val="00567E2F"/>
    <w:rsid w:val="00567EDD"/>
    <w:rsid w:val="005A30E8"/>
    <w:rsid w:val="005C3083"/>
    <w:rsid w:val="0061609D"/>
    <w:rsid w:val="006521CE"/>
    <w:rsid w:val="00680BC3"/>
    <w:rsid w:val="006F37EA"/>
    <w:rsid w:val="007109D7"/>
    <w:rsid w:val="007357F3"/>
    <w:rsid w:val="007C26F7"/>
    <w:rsid w:val="00860F1C"/>
    <w:rsid w:val="00890C55"/>
    <w:rsid w:val="008A3389"/>
    <w:rsid w:val="008F0B6C"/>
    <w:rsid w:val="0095420B"/>
    <w:rsid w:val="00975253"/>
    <w:rsid w:val="009F4F08"/>
    <w:rsid w:val="00A2179F"/>
    <w:rsid w:val="00A531D7"/>
    <w:rsid w:val="00A54F70"/>
    <w:rsid w:val="00AE3B4E"/>
    <w:rsid w:val="00AE75D4"/>
    <w:rsid w:val="00B34C19"/>
    <w:rsid w:val="00B70D33"/>
    <w:rsid w:val="00B84B7D"/>
    <w:rsid w:val="00BC22E2"/>
    <w:rsid w:val="00BE025D"/>
    <w:rsid w:val="00BE4A4C"/>
    <w:rsid w:val="00BE4EBF"/>
    <w:rsid w:val="00BF2939"/>
    <w:rsid w:val="00C20FBA"/>
    <w:rsid w:val="00C50C52"/>
    <w:rsid w:val="00C5468C"/>
    <w:rsid w:val="00C62431"/>
    <w:rsid w:val="00C95A35"/>
    <w:rsid w:val="00D05827"/>
    <w:rsid w:val="00D220A4"/>
    <w:rsid w:val="00D42590"/>
    <w:rsid w:val="00D55269"/>
    <w:rsid w:val="00DE2998"/>
    <w:rsid w:val="00DE7F4F"/>
    <w:rsid w:val="00DF1744"/>
    <w:rsid w:val="00E34F5D"/>
    <w:rsid w:val="00E42B24"/>
    <w:rsid w:val="00E5629D"/>
    <w:rsid w:val="00E855F4"/>
    <w:rsid w:val="00ED0069"/>
    <w:rsid w:val="00F00165"/>
    <w:rsid w:val="00F35995"/>
    <w:rsid w:val="00F5373E"/>
    <w:rsid w:val="00F72260"/>
    <w:rsid w:val="00F80A1B"/>
    <w:rsid w:val="00F976C1"/>
    <w:rsid w:val="00F977F3"/>
    <w:rsid w:val="00FC5556"/>
    <w:rsid w:val="00FE0D3C"/>
    <w:rsid w:val="00FE1F4F"/>
    <w:rsid w:val="00FE56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D1CDAE0"/>
  <w15:docId w15:val="{A3BC4453-3A08-4C4D-9933-2DC498BB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Header">
    <w:name w:val="header"/>
    <w:basedOn w:val="Normal"/>
    <w:link w:val="HeaderChar"/>
    <w:uiPriority w:val="99"/>
    <w:unhideWhenUsed/>
    <w:rsid w:val="00E855F4"/>
    <w:pPr>
      <w:tabs>
        <w:tab w:val="center" w:pos="4680"/>
        <w:tab w:val="right" w:pos="9360"/>
      </w:tabs>
    </w:pPr>
  </w:style>
  <w:style w:type="character" w:customStyle="1" w:styleId="HeaderChar">
    <w:name w:val="Header Char"/>
    <w:basedOn w:val="DefaultParagraphFont"/>
    <w:link w:val="Header"/>
    <w:uiPriority w:val="99"/>
    <w:rsid w:val="00E855F4"/>
    <w:rPr>
      <w:sz w:val="24"/>
      <w:szCs w:val="24"/>
      <w:lang w:val="en-US" w:eastAsia="en-US"/>
    </w:rPr>
  </w:style>
  <w:style w:type="paragraph" w:styleId="Footer">
    <w:name w:val="footer"/>
    <w:basedOn w:val="Normal"/>
    <w:link w:val="FooterChar"/>
    <w:uiPriority w:val="99"/>
    <w:unhideWhenUsed/>
    <w:rsid w:val="00E855F4"/>
    <w:pPr>
      <w:tabs>
        <w:tab w:val="center" w:pos="4680"/>
        <w:tab w:val="right" w:pos="9360"/>
      </w:tabs>
    </w:pPr>
  </w:style>
  <w:style w:type="character" w:customStyle="1" w:styleId="FooterChar">
    <w:name w:val="Footer Char"/>
    <w:basedOn w:val="DefaultParagraphFont"/>
    <w:link w:val="Footer"/>
    <w:uiPriority w:val="99"/>
    <w:rsid w:val="00E855F4"/>
    <w:rPr>
      <w:sz w:val="24"/>
      <w:szCs w:val="24"/>
      <w:lang w:val="en-US" w:eastAsia="en-US"/>
    </w:rPr>
  </w:style>
  <w:style w:type="paragraph" w:styleId="BalloonText">
    <w:name w:val="Balloon Text"/>
    <w:basedOn w:val="Normal"/>
    <w:link w:val="BalloonTextChar"/>
    <w:uiPriority w:val="99"/>
    <w:semiHidden/>
    <w:unhideWhenUsed/>
    <w:rsid w:val="004F34F3"/>
    <w:rPr>
      <w:rFonts w:ascii="Tahoma" w:hAnsi="Tahoma" w:cs="Tahoma"/>
      <w:sz w:val="16"/>
      <w:szCs w:val="16"/>
    </w:rPr>
  </w:style>
  <w:style w:type="character" w:customStyle="1" w:styleId="BalloonTextChar">
    <w:name w:val="Balloon Text Char"/>
    <w:basedOn w:val="DefaultParagraphFont"/>
    <w:link w:val="BalloonText"/>
    <w:uiPriority w:val="99"/>
    <w:semiHidden/>
    <w:rsid w:val="004F34F3"/>
    <w:rPr>
      <w:rFonts w:ascii="Tahoma" w:hAnsi="Tahoma" w:cs="Tahoma"/>
      <w:sz w:val="16"/>
      <w:szCs w:val="16"/>
      <w:lang w:val="en-US" w:eastAsia="en-US"/>
    </w:rPr>
  </w:style>
  <w:style w:type="paragraph" w:styleId="ListParagraph">
    <w:name w:val="List Paragraph"/>
    <w:basedOn w:val="Normal"/>
    <w:uiPriority w:val="34"/>
    <w:qFormat/>
    <w:rsid w:val="001E2A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fontana@blm.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8E3C6-4240-4A76-A433-691C19D36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Fontana, Joseph J</dc:creator>
  <cp:lastModifiedBy>Webster, Sarah K</cp:lastModifiedBy>
  <cp:revision>3</cp:revision>
  <dcterms:created xsi:type="dcterms:W3CDTF">2018-10-11T16:09:00Z</dcterms:created>
  <dcterms:modified xsi:type="dcterms:W3CDTF">2018-10-11T21:28:00Z</dcterms:modified>
</cp:coreProperties>
</file>