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F96D" w14:textId="77777777" w:rsidR="000926C0" w:rsidRPr="00305D5A" w:rsidRDefault="000926C0" w:rsidP="000653B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D5A">
        <w:rPr>
          <w:rFonts w:ascii="Times New Roman" w:hAnsi="Times New Roman" w:cs="Times New Roman"/>
          <w:sz w:val="24"/>
          <w:szCs w:val="24"/>
        </w:rPr>
        <w:t>ATTACHMENT 1</w:t>
      </w:r>
    </w:p>
    <w:p w14:paraId="69786A7A" w14:textId="7026023B" w:rsidR="000926C0" w:rsidRPr="005320BD" w:rsidRDefault="000926C0" w:rsidP="000653B3">
      <w:pPr>
        <w:pStyle w:val="Default"/>
        <w:spacing w:line="276" w:lineRule="auto"/>
        <w:jc w:val="center"/>
      </w:pPr>
      <w:r w:rsidRPr="005320BD">
        <w:rPr>
          <w:b/>
          <w:bCs/>
        </w:rPr>
        <w:t xml:space="preserve">Reporting Requirements for </w:t>
      </w:r>
      <w:r w:rsidR="00455BA5">
        <w:rPr>
          <w:b/>
          <w:bCs/>
        </w:rPr>
        <w:t xml:space="preserve">Major </w:t>
      </w:r>
      <w:r w:rsidRPr="005320BD">
        <w:rPr>
          <w:b/>
          <w:bCs/>
        </w:rPr>
        <w:t>Undesirable Events</w:t>
      </w:r>
    </w:p>
    <w:p w14:paraId="4B99C188" w14:textId="77777777" w:rsidR="000926C0" w:rsidRPr="00305D5A" w:rsidRDefault="000926C0" w:rsidP="000926C0">
      <w:pPr>
        <w:pStyle w:val="Default"/>
        <w:spacing w:line="276" w:lineRule="auto"/>
      </w:pPr>
    </w:p>
    <w:p w14:paraId="64A257DE" w14:textId="77777777" w:rsidR="000926C0" w:rsidRPr="005320BD" w:rsidRDefault="000926C0" w:rsidP="000926C0">
      <w:pPr>
        <w:pStyle w:val="Default"/>
        <w:spacing w:line="276" w:lineRule="auto"/>
        <w:rPr>
          <w:b/>
          <w:u w:val="single"/>
        </w:rPr>
      </w:pPr>
      <w:r w:rsidRPr="005320BD">
        <w:rPr>
          <w:b/>
          <w:u w:val="single"/>
        </w:rPr>
        <w:t>I. Major Undesirable Events - Immediate Notification/</w:t>
      </w:r>
      <w:r w:rsidR="000E0E15">
        <w:rPr>
          <w:b/>
          <w:u w:val="single"/>
        </w:rPr>
        <w:t xml:space="preserve">Follow up </w:t>
      </w:r>
      <w:r w:rsidRPr="005320BD">
        <w:rPr>
          <w:b/>
          <w:u w:val="single"/>
        </w:rPr>
        <w:t xml:space="preserve">Report </w:t>
      </w:r>
    </w:p>
    <w:p w14:paraId="4311DB35" w14:textId="77777777" w:rsidR="000926C0" w:rsidRPr="00305D5A" w:rsidRDefault="000926C0" w:rsidP="000926C0">
      <w:pPr>
        <w:pStyle w:val="Default"/>
        <w:spacing w:line="276" w:lineRule="auto"/>
      </w:pPr>
    </w:p>
    <w:p w14:paraId="1F1347E3" w14:textId="48C45840" w:rsidR="000926C0" w:rsidRPr="00305D5A" w:rsidRDefault="000926C0" w:rsidP="000926C0">
      <w:pPr>
        <w:pStyle w:val="Default"/>
        <w:spacing w:line="276" w:lineRule="auto"/>
      </w:pPr>
      <w:r w:rsidRPr="00305D5A">
        <w:t xml:space="preserve">All </w:t>
      </w:r>
      <w:r w:rsidR="00670E3D">
        <w:t>F</w:t>
      </w:r>
      <w:r w:rsidRPr="00305D5A">
        <w:t xml:space="preserve">ield </w:t>
      </w:r>
      <w:r w:rsidR="00670E3D">
        <w:t>O</w:t>
      </w:r>
      <w:r w:rsidRPr="00305D5A">
        <w:t xml:space="preserve">ffices </w:t>
      </w:r>
      <w:r w:rsidR="00670E3D">
        <w:t xml:space="preserve">(FO) </w:t>
      </w:r>
      <w:r w:rsidRPr="00305D5A">
        <w:t xml:space="preserve">must submit an </w:t>
      </w:r>
      <w:r w:rsidR="00670E3D">
        <w:t>I</w:t>
      </w:r>
      <w:r w:rsidRPr="00305D5A">
        <w:t xml:space="preserve">nitial </w:t>
      </w:r>
      <w:r w:rsidR="00670E3D">
        <w:t>N</w:t>
      </w:r>
      <w:r w:rsidR="00936643">
        <w:t xml:space="preserve">otification </w:t>
      </w:r>
      <w:r w:rsidR="00670E3D">
        <w:t>R</w:t>
      </w:r>
      <w:r w:rsidRPr="00305D5A">
        <w:t xml:space="preserve">eport for all </w:t>
      </w:r>
      <w:r w:rsidR="00670E3D">
        <w:t>M</w:t>
      </w:r>
      <w:r w:rsidRPr="00305D5A">
        <w:t xml:space="preserve">ajor </w:t>
      </w:r>
      <w:r w:rsidR="00670E3D">
        <w:t>U</w:t>
      </w:r>
      <w:r w:rsidRPr="00305D5A">
        <w:t xml:space="preserve">ndesirable </w:t>
      </w:r>
      <w:r w:rsidR="00670E3D">
        <w:t>E</w:t>
      </w:r>
      <w:r w:rsidRPr="00305D5A">
        <w:t xml:space="preserve">vents </w:t>
      </w:r>
      <w:r w:rsidR="00455BA5">
        <w:t xml:space="preserve">(MUE) </w:t>
      </w:r>
      <w:r w:rsidRPr="00305D5A">
        <w:t xml:space="preserve">that occur on </w:t>
      </w:r>
      <w:r w:rsidR="00EA56D0">
        <w:t>federally man</w:t>
      </w:r>
      <w:r w:rsidR="00FB261A">
        <w:t>a</w:t>
      </w:r>
      <w:r w:rsidR="00EA56D0">
        <w:t xml:space="preserve">ged lands </w:t>
      </w:r>
      <w:r w:rsidRPr="00305D5A">
        <w:t>to the appropriate</w:t>
      </w:r>
      <w:r w:rsidR="00FB261A">
        <w:t xml:space="preserve"> </w:t>
      </w:r>
      <w:r w:rsidR="00FB261A" w:rsidRPr="00305D5A">
        <w:t>Washington Office (WO)</w:t>
      </w:r>
      <w:r w:rsidR="00FB261A">
        <w:t xml:space="preserve"> and</w:t>
      </w:r>
      <w:r w:rsidR="00FB261A" w:rsidRPr="00305D5A">
        <w:t xml:space="preserve"> </w:t>
      </w:r>
      <w:r w:rsidR="00670E3D">
        <w:t>S</w:t>
      </w:r>
      <w:r w:rsidRPr="00305D5A">
        <w:t xml:space="preserve">tate </w:t>
      </w:r>
      <w:r w:rsidR="00670E3D">
        <w:t>O</w:t>
      </w:r>
      <w:r w:rsidRPr="00305D5A">
        <w:t>ffice (SO) personnel</w:t>
      </w:r>
      <w:r w:rsidR="00FB261A">
        <w:t xml:space="preserve"> </w:t>
      </w:r>
      <w:r w:rsidRPr="00305D5A">
        <w:t xml:space="preserve">as soon as practical, but </w:t>
      </w:r>
      <w:r w:rsidR="00455BA5">
        <w:t xml:space="preserve">no later than </w:t>
      </w:r>
      <w:r w:rsidRPr="00305D5A">
        <w:t>24 hours</w:t>
      </w:r>
      <w:r w:rsidR="00512AD3">
        <w:t xml:space="preserve"> </w:t>
      </w:r>
      <w:r w:rsidR="00455BA5">
        <w:t xml:space="preserve">after either </w:t>
      </w:r>
      <w:r w:rsidR="0054239F">
        <w:t xml:space="preserve">the </w:t>
      </w:r>
      <w:r w:rsidR="00455BA5">
        <w:t>B</w:t>
      </w:r>
      <w:r w:rsidR="00670E3D">
        <w:t>ureau of Land Management (B</w:t>
      </w:r>
      <w:r w:rsidR="00455BA5">
        <w:t>LM</w:t>
      </w:r>
      <w:r w:rsidR="00670E3D">
        <w:t>)</w:t>
      </w:r>
      <w:r w:rsidR="00455BA5">
        <w:t xml:space="preserve"> </w:t>
      </w:r>
      <w:r w:rsidR="00FB261A" w:rsidRPr="00305D5A">
        <w:rPr>
          <w:rFonts w:eastAsia="Times New Roman"/>
        </w:rPr>
        <w:t>discover</w:t>
      </w:r>
      <w:r w:rsidR="00455BA5">
        <w:rPr>
          <w:rFonts w:eastAsia="Times New Roman"/>
        </w:rPr>
        <w:t xml:space="preserve">s the MUE or the operator or public notifies </w:t>
      </w:r>
      <w:r w:rsidR="00FB261A" w:rsidRPr="00305D5A">
        <w:rPr>
          <w:rFonts w:eastAsia="Times New Roman"/>
        </w:rPr>
        <w:t>the BLM</w:t>
      </w:r>
      <w:r w:rsidR="00455BA5">
        <w:rPr>
          <w:rFonts w:eastAsia="Times New Roman"/>
        </w:rPr>
        <w:t xml:space="preserve"> about the MUE</w:t>
      </w:r>
      <w:r w:rsidR="00FB261A">
        <w:rPr>
          <w:rFonts w:eastAsia="Times New Roman"/>
        </w:rPr>
        <w:t>.</w:t>
      </w:r>
    </w:p>
    <w:p w14:paraId="41B99BD1" w14:textId="77777777" w:rsidR="000926C0" w:rsidRPr="00305D5A" w:rsidRDefault="000926C0" w:rsidP="000926C0">
      <w:pPr>
        <w:pStyle w:val="Default"/>
        <w:spacing w:line="276" w:lineRule="auto"/>
      </w:pPr>
    </w:p>
    <w:p w14:paraId="089B7E4A" w14:textId="25A65341" w:rsidR="000926C0" w:rsidRPr="00305D5A" w:rsidRDefault="00A12478" w:rsidP="000926C0">
      <w:pPr>
        <w:pStyle w:val="Default"/>
        <w:spacing w:line="276" w:lineRule="auto"/>
      </w:pPr>
      <w:r>
        <w:t xml:space="preserve">The </w:t>
      </w:r>
      <w:r w:rsidR="000926C0">
        <w:t>NTL-3A</w:t>
      </w:r>
      <w:r w:rsidR="00AB0DAD">
        <w:t xml:space="preserve">, </w:t>
      </w:r>
      <w:r w:rsidR="00AB0DAD" w:rsidRPr="00AB0DAD">
        <w:t>44 Fed. Reg. 2205 (Jan. 10, 1979)</w:t>
      </w:r>
      <w:r w:rsidR="000653B3">
        <w:rPr>
          <w:rStyle w:val="FootnoteReference"/>
        </w:rPr>
        <w:footnoteReference w:id="1"/>
      </w:r>
      <w:r w:rsidR="00AB0DAD">
        <w:t>,</w:t>
      </w:r>
      <w:r w:rsidR="000926C0">
        <w:t xml:space="preserve"> defines M</w:t>
      </w:r>
      <w:r w:rsidR="00670E3D">
        <w:t>UE</w:t>
      </w:r>
      <w:r w:rsidR="000926C0">
        <w:t xml:space="preserve"> as</w:t>
      </w:r>
      <w:r w:rsidR="000926C0" w:rsidRPr="00305D5A">
        <w:t xml:space="preserve">: </w:t>
      </w:r>
    </w:p>
    <w:p w14:paraId="50489CCC" w14:textId="77777777" w:rsidR="000926C0" w:rsidRPr="00305D5A" w:rsidRDefault="000926C0" w:rsidP="000926C0">
      <w:pPr>
        <w:pStyle w:val="Default"/>
        <w:spacing w:line="276" w:lineRule="auto"/>
      </w:pPr>
    </w:p>
    <w:p w14:paraId="0CB415A1" w14:textId="7C5A90CE" w:rsidR="000926C0" w:rsidRPr="00305D5A" w:rsidRDefault="000926C0" w:rsidP="000926C0">
      <w:pPr>
        <w:pStyle w:val="Default"/>
        <w:numPr>
          <w:ilvl w:val="0"/>
          <w:numId w:val="1"/>
        </w:numPr>
        <w:spacing w:after="27" w:line="276" w:lineRule="auto"/>
      </w:pPr>
      <w:r w:rsidRPr="00305D5A">
        <w:t xml:space="preserve">Oil, saltwater, or toxic liquid spills, or any combination thereof, </w:t>
      </w:r>
      <w:r w:rsidR="00455BA5">
        <w:t>which</w:t>
      </w:r>
      <w:r w:rsidRPr="00305D5A">
        <w:t xml:space="preserve"> results in the discharge (spilling) of 100 or mor</w:t>
      </w:r>
      <w:r>
        <w:t>e barrels of liquid</w:t>
      </w:r>
      <w:r w:rsidR="00455BA5">
        <w:t>; however, d</w:t>
      </w:r>
      <w:r w:rsidRPr="00305D5A">
        <w:t xml:space="preserve">ischarges </w:t>
      </w:r>
      <w:r w:rsidR="00455BA5">
        <w:t xml:space="preserve">of such magnitude, if </w:t>
      </w:r>
      <w:r w:rsidRPr="00305D5A">
        <w:t>entirely contained within the facility firewall</w:t>
      </w:r>
      <w:r w:rsidR="00455BA5">
        <w:t>, may be reported only in writing</w:t>
      </w:r>
      <w:r w:rsidRPr="00305D5A">
        <w:t xml:space="preserve">; </w:t>
      </w:r>
    </w:p>
    <w:p w14:paraId="73AE7AF5" w14:textId="490AD350" w:rsidR="000926C0" w:rsidRPr="00305D5A" w:rsidRDefault="000926C0" w:rsidP="000926C0">
      <w:pPr>
        <w:pStyle w:val="Default"/>
        <w:numPr>
          <w:ilvl w:val="0"/>
          <w:numId w:val="1"/>
        </w:numPr>
        <w:spacing w:after="27" w:line="276" w:lineRule="auto"/>
      </w:pPr>
      <w:r w:rsidRPr="00305D5A">
        <w:t>Equipment failures or other accidents that result in the venting of 500 thousand cubic feet (M</w:t>
      </w:r>
      <w:r w:rsidR="0030122A">
        <w:t>cf</w:t>
      </w:r>
      <w:r w:rsidRPr="00305D5A">
        <w:t xml:space="preserve">), or more, of gas; </w:t>
      </w:r>
    </w:p>
    <w:p w14:paraId="07AFEF0F" w14:textId="6874BB85" w:rsidR="000926C0" w:rsidRPr="00305D5A" w:rsidRDefault="000926C0" w:rsidP="000926C0">
      <w:pPr>
        <w:pStyle w:val="Default"/>
        <w:numPr>
          <w:ilvl w:val="0"/>
          <w:numId w:val="1"/>
        </w:numPr>
        <w:spacing w:after="27" w:line="276" w:lineRule="auto"/>
      </w:pPr>
      <w:r w:rsidRPr="00305D5A">
        <w:t xml:space="preserve">Any fire </w:t>
      </w:r>
      <w:r w:rsidR="006C7D22">
        <w:t>that</w:t>
      </w:r>
      <w:r w:rsidRPr="00305D5A">
        <w:t xml:space="preserve"> consumes 100 barrels or more of liq</w:t>
      </w:r>
      <w:r w:rsidR="00594B7F">
        <w:t>uid and/or 500 m</w:t>
      </w:r>
      <w:r w:rsidR="0030122A">
        <w:t>cf</w:t>
      </w:r>
      <w:r w:rsidRPr="00305D5A">
        <w:t xml:space="preserve"> or more of gas; </w:t>
      </w:r>
    </w:p>
    <w:p w14:paraId="0372D537" w14:textId="6CA30308" w:rsidR="000926C0" w:rsidRPr="00305D5A" w:rsidRDefault="000926C0" w:rsidP="000926C0">
      <w:pPr>
        <w:pStyle w:val="Default"/>
        <w:numPr>
          <w:ilvl w:val="0"/>
          <w:numId w:val="1"/>
        </w:numPr>
        <w:spacing w:after="27" w:line="276" w:lineRule="auto"/>
      </w:pPr>
      <w:r w:rsidRPr="00305D5A">
        <w:t xml:space="preserve">Any spill, venting, or fire, regardless of the volume involved, </w:t>
      </w:r>
      <w:r w:rsidR="00455BA5">
        <w:t>which</w:t>
      </w:r>
      <w:r w:rsidRPr="00305D5A">
        <w:t xml:space="preserve"> occurs in a sensitive area, such as parks, recreation sites, wildlife refuges, lakes, reservoirs, streams, or urban or suburban area</w:t>
      </w:r>
      <w:r w:rsidR="00455BA5">
        <w:t>s</w:t>
      </w:r>
      <w:r w:rsidRPr="00305D5A">
        <w:t xml:space="preserve">; </w:t>
      </w:r>
    </w:p>
    <w:p w14:paraId="676A4C63" w14:textId="77777777" w:rsidR="000926C0" w:rsidRPr="00305D5A" w:rsidRDefault="000926C0" w:rsidP="000926C0">
      <w:pPr>
        <w:pStyle w:val="Default"/>
        <w:numPr>
          <w:ilvl w:val="0"/>
          <w:numId w:val="1"/>
        </w:numPr>
        <w:spacing w:after="27" w:line="276" w:lineRule="auto"/>
      </w:pPr>
      <w:r w:rsidRPr="00305D5A">
        <w:t xml:space="preserve">Each accident that involves a fatal injury; and </w:t>
      </w:r>
    </w:p>
    <w:p w14:paraId="74014EA6" w14:textId="77777777" w:rsidR="000926C0" w:rsidRPr="00305D5A" w:rsidRDefault="00127DB6" w:rsidP="000926C0">
      <w:pPr>
        <w:pStyle w:val="Default"/>
        <w:numPr>
          <w:ilvl w:val="0"/>
          <w:numId w:val="1"/>
        </w:numPr>
        <w:spacing w:after="27" w:line="276" w:lineRule="auto"/>
      </w:pPr>
      <w:r>
        <w:t>Every b</w:t>
      </w:r>
      <w:r w:rsidR="000926C0" w:rsidRPr="00305D5A">
        <w:t>lowout (loss of control of any well)</w:t>
      </w:r>
      <w:r>
        <w:t xml:space="preserve"> that occurs.</w:t>
      </w:r>
    </w:p>
    <w:p w14:paraId="71332A97" w14:textId="77777777" w:rsidR="000926C0" w:rsidRPr="00305D5A" w:rsidRDefault="000926C0" w:rsidP="000926C0">
      <w:pPr>
        <w:pStyle w:val="Default"/>
        <w:spacing w:after="27" w:line="276" w:lineRule="auto"/>
        <w:ind w:left="720"/>
        <w:jc w:val="right"/>
      </w:pPr>
    </w:p>
    <w:p w14:paraId="52F5DF76" w14:textId="77777777" w:rsidR="000926C0" w:rsidRDefault="000926C0" w:rsidP="000926C0">
      <w:pPr>
        <w:pStyle w:val="Default"/>
        <w:spacing w:line="276" w:lineRule="auto"/>
        <w:rPr>
          <w:b/>
          <w:u w:val="single"/>
        </w:rPr>
      </w:pPr>
      <w:r w:rsidRPr="005320BD">
        <w:rPr>
          <w:b/>
          <w:u w:val="single"/>
        </w:rPr>
        <w:t xml:space="preserve">II. Follow-up Reports </w:t>
      </w:r>
      <w:r>
        <w:rPr>
          <w:b/>
          <w:u w:val="single"/>
        </w:rPr>
        <w:t xml:space="preserve">  </w:t>
      </w:r>
    </w:p>
    <w:p w14:paraId="3D8A8E67" w14:textId="77777777" w:rsidR="000926C0" w:rsidRDefault="000926C0" w:rsidP="000926C0">
      <w:pPr>
        <w:pStyle w:val="Default"/>
        <w:spacing w:line="276" w:lineRule="auto"/>
        <w:rPr>
          <w:b/>
          <w:u w:val="single"/>
        </w:rPr>
      </w:pPr>
    </w:p>
    <w:p w14:paraId="0785EBC6" w14:textId="1167FEAC" w:rsidR="000926C0" w:rsidRPr="00916C3A" w:rsidRDefault="000926C0" w:rsidP="000926C0">
      <w:pPr>
        <w:pStyle w:val="Default"/>
        <w:spacing w:line="276" w:lineRule="auto"/>
      </w:pPr>
      <w:r>
        <w:t xml:space="preserve">The </w:t>
      </w:r>
      <w:r w:rsidR="00670E3D">
        <w:t>FO’s</w:t>
      </w:r>
      <w:r>
        <w:t xml:space="preserve"> must </w:t>
      </w:r>
      <w:r w:rsidR="00665CF9">
        <w:t xml:space="preserve">include the information on items listed in </w:t>
      </w:r>
      <w:r>
        <w:t>Attachment 2</w:t>
      </w:r>
      <w:r w:rsidR="00D71180">
        <w:t xml:space="preserve"> </w:t>
      </w:r>
      <w:r>
        <w:t>when submitting the follow-up reports within 15 days</w:t>
      </w:r>
      <w:r w:rsidR="00936643">
        <w:t xml:space="preserve"> after initial notification</w:t>
      </w:r>
      <w:r>
        <w:t>.  If the MUE involves a fatal injury, blowout</w:t>
      </w:r>
      <w:r w:rsidR="00455BA5">
        <w:t>,</w:t>
      </w:r>
      <w:r>
        <w:t xml:space="preserve"> or fire, then </w:t>
      </w:r>
      <w:r w:rsidR="0054239F">
        <w:t xml:space="preserve">the </w:t>
      </w:r>
      <w:r>
        <w:t xml:space="preserve">WO </w:t>
      </w:r>
      <w:r w:rsidR="00936643">
        <w:t xml:space="preserve">may </w:t>
      </w:r>
      <w:r>
        <w:t xml:space="preserve">distribute the follow-up report to </w:t>
      </w:r>
      <w:r w:rsidR="004A29F3">
        <w:t xml:space="preserve">other relevant offices in </w:t>
      </w:r>
      <w:r>
        <w:t>the Initial 24 hour contact list</w:t>
      </w:r>
      <w:r w:rsidR="00545154">
        <w:t xml:space="preserve"> (Attachment 3)</w:t>
      </w:r>
      <w:r>
        <w:t xml:space="preserve">. </w:t>
      </w:r>
    </w:p>
    <w:p w14:paraId="37B2C30D" w14:textId="77777777" w:rsidR="006A724C" w:rsidRDefault="00934A4D"/>
    <w:sectPr w:rsidR="006A72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1D4A" w14:textId="77777777" w:rsidR="00E90F4E" w:rsidRDefault="00E90F4E" w:rsidP="000653B3">
      <w:pPr>
        <w:spacing w:after="0" w:line="240" w:lineRule="auto"/>
      </w:pPr>
      <w:r>
        <w:separator/>
      </w:r>
    </w:p>
  </w:endnote>
  <w:endnote w:type="continuationSeparator" w:id="0">
    <w:p w14:paraId="0009A936" w14:textId="77777777" w:rsidR="00E90F4E" w:rsidRDefault="00E90F4E" w:rsidP="0006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84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4FC1ED97" w14:textId="14B16844" w:rsidR="00934A4D" w:rsidRPr="00934A4D" w:rsidRDefault="00934A4D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934A4D">
          <w:rPr>
            <w:rFonts w:ascii="Times New Roman" w:hAnsi="Times New Roman" w:cs="Times New Roman"/>
            <w:sz w:val="24"/>
          </w:rPr>
          <w:t>Attachment 1-</w:t>
        </w:r>
        <w:r w:rsidRPr="00934A4D">
          <w:rPr>
            <w:rFonts w:ascii="Times New Roman" w:hAnsi="Times New Roman" w:cs="Times New Roman"/>
            <w:sz w:val="24"/>
          </w:rPr>
          <w:fldChar w:fldCharType="begin"/>
        </w:r>
        <w:r w:rsidRPr="00934A4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34A4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934A4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BFE7400" w14:textId="77777777" w:rsidR="00934A4D" w:rsidRDefault="00934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D853" w14:textId="77777777" w:rsidR="00E90F4E" w:rsidRDefault="00E90F4E" w:rsidP="000653B3">
      <w:pPr>
        <w:spacing w:after="0" w:line="240" w:lineRule="auto"/>
      </w:pPr>
      <w:r>
        <w:separator/>
      </w:r>
    </w:p>
  </w:footnote>
  <w:footnote w:type="continuationSeparator" w:id="0">
    <w:p w14:paraId="37224FD1" w14:textId="77777777" w:rsidR="00E90F4E" w:rsidRDefault="00E90F4E" w:rsidP="000653B3">
      <w:pPr>
        <w:spacing w:after="0" w:line="240" w:lineRule="auto"/>
      </w:pPr>
      <w:r>
        <w:continuationSeparator/>
      </w:r>
    </w:p>
  </w:footnote>
  <w:footnote w:id="1">
    <w:p w14:paraId="366D7A33" w14:textId="3EC64AE1" w:rsidR="000653B3" w:rsidRPr="009B35BD" w:rsidRDefault="000653B3">
      <w:pPr>
        <w:pStyle w:val="FootnoteText"/>
        <w:rPr>
          <w:rFonts w:ascii="Times New Roman" w:hAnsi="Times New Roman" w:cs="Times New Roman"/>
        </w:rPr>
      </w:pPr>
      <w:r w:rsidRPr="009B35BD">
        <w:rPr>
          <w:rStyle w:val="FootnoteReference"/>
          <w:rFonts w:ascii="Times New Roman" w:hAnsi="Times New Roman" w:cs="Times New Roman"/>
        </w:rPr>
        <w:footnoteRef/>
      </w:r>
      <w:r w:rsidRPr="009B35BD">
        <w:rPr>
          <w:rFonts w:ascii="Times New Roman" w:hAnsi="Times New Roman" w:cs="Times New Roman"/>
        </w:rPr>
        <w:t xml:space="preserve"> Link to NTL-3A - https://cdn.loc.gov/service/ll/fedreg/fr044/fr044007/fr044007.pdf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2DF3"/>
    <w:multiLevelType w:val="hybridMultilevel"/>
    <w:tmpl w:val="A6488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0"/>
    <w:rsid w:val="000653B3"/>
    <w:rsid w:val="000926C0"/>
    <w:rsid w:val="000E05E6"/>
    <w:rsid w:val="000E0E15"/>
    <w:rsid w:val="00127DB6"/>
    <w:rsid w:val="0030122A"/>
    <w:rsid w:val="003205DC"/>
    <w:rsid w:val="003912F2"/>
    <w:rsid w:val="00455BA5"/>
    <w:rsid w:val="004A29F3"/>
    <w:rsid w:val="004B729F"/>
    <w:rsid w:val="004F3DC5"/>
    <w:rsid w:val="00512AD3"/>
    <w:rsid w:val="0054239F"/>
    <w:rsid w:val="00545154"/>
    <w:rsid w:val="00594B7F"/>
    <w:rsid w:val="00626137"/>
    <w:rsid w:val="00665CF9"/>
    <w:rsid w:val="00670E3D"/>
    <w:rsid w:val="00695D58"/>
    <w:rsid w:val="006C7D22"/>
    <w:rsid w:val="00897D1E"/>
    <w:rsid w:val="00934A4D"/>
    <w:rsid w:val="00936643"/>
    <w:rsid w:val="009B35BD"/>
    <w:rsid w:val="00A12478"/>
    <w:rsid w:val="00A66442"/>
    <w:rsid w:val="00A867D6"/>
    <w:rsid w:val="00AB0DAD"/>
    <w:rsid w:val="00B70833"/>
    <w:rsid w:val="00BF64BE"/>
    <w:rsid w:val="00C22FF3"/>
    <w:rsid w:val="00C35153"/>
    <w:rsid w:val="00D71180"/>
    <w:rsid w:val="00E90F4E"/>
    <w:rsid w:val="00EA56D0"/>
    <w:rsid w:val="00F347F2"/>
    <w:rsid w:val="00F71523"/>
    <w:rsid w:val="00F71AA8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A9FA"/>
  <w15:docId w15:val="{6C00E22F-D736-49C3-8C8E-F0C1743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6C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AA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A8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A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3B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3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A4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4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2DAD-2791-404C-BAC5-BB6E2A83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Subijoy Dutta</dc:creator>
  <cp:lastModifiedBy>Fowler, Ambyr B</cp:lastModifiedBy>
  <cp:revision>2</cp:revision>
  <dcterms:created xsi:type="dcterms:W3CDTF">2018-12-21T15:33:00Z</dcterms:created>
  <dcterms:modified xsi:type="dcterms:W3CDTF">2018-12-21T15:33:00Z</dcterms:modified>
</cp:coreProperties>
</file>