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43685" w14:textId="77777777" w:rsidR="00B74223" w:rsidRPr="00802D04" w:rsidRDefault="00B74223" w:rsidP="009B3C0D">
      <w:pPr>
        <w:spacing w:after="0" w:line="240" w:lineRule="auto"/>
        <w:jc w:val="center"/>
        <w:rPr>
          <w:rFonts w:ascii="Times New Roman" w:hAnsi="Times New Roman" w:cs="Times New Roman"/>
          <w:b/>
          <w:sz w:val="24"/>
          <w:szCs w:val="24"/>
        </w:rPr>
      </w:pPr>
      <w:bookmarkStart w:id="0" w:name="ATTACHMENT1"/>
      <w:r w:rsidRPr="00802D04">
        <w:rPr>
          <w:rFonts w:ascii="Times New Roman" w:hAnsi="Times New Roman" w:cs="Times New Roman"/>
          <w:b/>
          <w:sz w:val="24"/>
          <w:szCs w:val="24"/>
        </w:rPr>
        <w:t xml:space="preserve">Attachment 1 </w:t>
      </w:r>
      <w:bookmarkEnd w:id="0"/>
      <w:r w:rsidRPr="00802D04">
        <w:rPr>
          <w:rFonts w:ascii="Times New Roman" w:hAnsi="Times New Roman" w:cs="Times New Roman"/>
          <w:b/>
          <w:sz w:val="24"/>
          <w:szCs w:val="24"/>
        </w:rPr>
        <w:t>Bond Adequacy Review Instructions</w:t>
      </w:r>
      <w:r w:rsidRPr="00802D04">
        <w:rPr>
          <w:rFonts w:ascii="Times New Roman" w:hAnsi="Times New Roman" w:cs="Times New Roman"/>
          <w:b/>
          <w:sz w:val="24"/>
          <w:szCs w:val="24"/>
        </w:rPr>
        <w:fldChar w:fldCharType="begin"/>
      </w:r>
      <w:r w:rsidRPr="00802D04">
        <w:rPr>
          <w:rFonts w:ascii="Times New Roman" w:hAnsi="Times New Roman" w:cs="Times New Roman"/>
          <w:sz w:val="24"/>
          <w:szCs w:val="24"/>
        </w:rPr>
        <w:instrText xml:space="preserve"> TA \l "</w:instrText>
      </w:r>
      <w:r w:rsidRPr="00802D04">
        <w:rPr>
          <w:rFonts w:ascii="Times New Roman" w:hAnsi="Times New Roman" w:cs="Times New Roman"/>
          <w:b/>
          <w:sz w:val="24"/>
          <w:szCs w:val="24"/>
        </w:rPr>
        <w:instrText>Bond Adequacy Review Instructions</w:instrText>
      </w:r>
      <w:r w:rsidRPr="00802D04">
        <w:rPr>
          <w:rFonts w:ascii="Times New Roman" w:hAnsi="Times New Roman" w:cs="Times New Roman"/>
          <w:sz w:val="24"/>
          <w:szCs w:val="24"/>
        </w:rPr>
        <w:instrText xml:space="preserve">" \s "Bond Adequacy Review Instructions" \c 1 </w:instrText>
      </w:r>
      <w:r w:rsidRPr="00802D04">
        <w:rPr>
          <w:rFonts w:ascii="Times New Roman" w:hAnsi="Times New Roman" w:cs="Times New Roman"/>
          <w:b/>
          <w:sz w:val="24"/>
          <w:szCs w:val="24"/>
        </w:rPr>
        <w:fldChar w:fldCharType="end"/>
      </w:r>
    </w:p>
    <w:p w14:paraId="706C700B" w14:textId="77777777" w:rsidR="00B74223" w:rsidRPr="00802D04" w:rsidRDefault="00B74223" w:rsidP="009B3C0D">
      <w:pPr>
        <w:spacing w:after="0" w:line="240" w:lineRule="auto"/>
        <w:rPr>
          <w:rFonts w:ascii="Times New Roman" w:hAnsi="Times New Roman" w:cs="Times New Roman"/>
          <w:sz w:val="24"/>
          <w:szCs w:val="24"/>
          <w:u w:val="single"/>
        </w:rPr>
      </w:pPr>
    </w:p>
    <w:p w14:paraId="0B134D23" w14:textId="5DC6B101" w:rsidR="00B74223" w:rsidRPr="00802D04" w:rsidRDefault="00B74223" w:rsidP="009B3C0D">
      <w:pPr>
        <w:spacing w:after="0" w:line="240" w:lineRule="auto"/>
        <w:rPr>
          <w:rFonts w:ascii="Times New Roman" w:hAnsi="Times New Roman" w:cs="Times New Roman"/>
          <w:sz w:val="24"/>
          <w:szCs w:val="24"/>
        </w:rPr>
      </w:pPr>
      <w:r w:rsidRPr="00802D04">
        <w:rPr>
          <w:rFonts w:ascii="Times New Roman" w:hAnsi="Times New Roman" w:cs="Times New Roman"/>
          <w:sz w:val="24"/>
          <w:szCs w:val="24"/>
        </w:rPr>
        <w:t xml:space="preserve">The </w:t>
      </w:r>
      <w:r w:rsidR="00E021F4">
        <w:rPr>
          <w:rFonts w:ascii="Times New Roman" w:hAnsi="Times New Roman" w:cs="Times New Roman"/>
          <w:sz w:val="24"/>
          <w:szCs w:val="24"/>
        </w:rPr>
        <w:t>Bureau of Land management (</w:t>
      </w:r>
      <w:r w:rsidRPr="00802D04">
        <w:rPr>
          <w:rFonts w:ascii="Times New Roman" w:hAnsi="Times New Roman" w:cs="Times New Roman"/>
          <w:sz w:val="24"/>
          <w:szCs w:val="24"/>
        </w:rPr>
        <w:t>BLM</w:t>
      </w:r>
      <w:r w:rsidR="00E021F4">
        <w:rPr>
          <w:rFonts w:ascii="Times New Roman" w:hAnsi="Times New Roman" w:cs="Times New Roman"/>
          <w:sz w:val="24"/>
          <w:szCs w:val="24"/>
        </w:rPr>
        <w:t>)</w:t>
      </w:r>
      <w:r w:rsidRPr="00802D04">
        <w:rPr>
          <w:rFonts w:ascii="Times New Roman" w:hAnsi="Times New Roman" w:cs="Times New Roman"/>
          <w:sz w:val="24"/>
          <w:szCs w:val="24"/>
        </w:rPr>
        <w:t xml:space="preserve"> </w:t>
      </w:r>
      <w:r w:rsidR="00E021F4">
        <w:rPr>
          <w:rFonts w:ascii="Times New Roman" w:hAnsi="Times New Roman" w:cs="Times New Roman"/>
          <w:sz w:val="24"/>
          <w:szCs w:val="24"/>
        </w:rPr>
        <w:t>Field Offices (</w:t>
      </w:r>
      <w:r w:rsidRPr="00802D04">
        <w:rPr>
          <w:rFonts w:ascii="Times New Roman" w:hAnsi="Times New Roman" w:cs="Times New Roman"/>
          <w:sz w:val="24"/>
          <w:szCs w:val="24"/>
        </w:rPr>
        <w:t>FO</w:t>
      </w:r>
      <w:r w:rsidR="00E021F4">
        <w:rPr>
          <w:rFonts w:ascii="Times New Roman" w:hAnsi="Times New Roman" w:cs="Times New Roman"/>
          <w:sz w:val="24"/>
          <w:szCs w:val="24"/>
        </w:rPr>
        <w:t>)</w:t>
      </w:r>
      <w:r w:rsidRPr="00802D04">
        <w:rPr>
          <w:rFonts w:ascii="Times New Roman" w:hAnsi="Times New Roman" w:cs="Times New Roman"/>
          <w:sz w:val="24"/>
          <w:szCs w:val="24"/>
        </w:rPr>
        <w:t xml:space="preserve"> must review ea</w:t>
      </w:r>
      <w:r w:rsidR="0016760A">
        <w:rPr>
          <w:rFonts w:ascii="Times New Roman" w:hAnsi="Times New Roman" w:cs="Times New Roman"/>
          <w:sz w:val="24"/>
          <w:szCs w:val="24"/>
        </w:rPr>
        <w:t>ch bond at least once during a 5</w:t>
      </w:r>
      <w:r w:rsidRPr="00802D04">
        <w:rPr>
          <w:rFonts w:ascii="Times New Roman" w:hAnsi="Times New Roman" w:cs="Times New Roman"/>
          <w:sz w:val="24"/>
          <w:szCs w:val="24"/>
        </w:rPr>
        <w:t>-year cycle.  However, an appropriate time to review the adequacy of any bond would include:</w:t>
      </w:r>
      <w:r w:rsidRPr="00802D04" w:rsidDel="00C37385">
        <w:rPr>
          <w:rFonts w:ascii="Times New Roman" w:hAnsi="Times New Roman" w:cs="Times New Roman"/>
          <w:sz w:val="24"/>
          <w:szCs w:val="24"/>
        </w:rPr>
        <w:t xml:space="preserve"> </w:t>
      </w:r>
    </w:p>
    <w:p w14:paraId="7E82E3FE" w14:textId="77777777" w:rsidR="00B74223" w:rsidRPr="00802D04" w:rsidRDefault="00B74223" w:rsidP="009B3C0D">
      <w:pPr>
        <w:spacing w:after="0" w:line="240" w:lineRule="auto"/>
        <w:rPr>
          <w:rFonts w:ascii="Times New Roman" w:hAnsi="Times New Roman" w:cs="Times New Roman"/>
          <w:sz w:val="24"/>
          <w:szCs w:val="24"/>
        </w:rPr>
      </w:pPr>
    </w:p>
    <w:p w14:paraId="7E7194E2" w14:textId="77777777" w:rsidR="00B74223" w:rsidRPr="00802D04" w:rsidRDefault="00B74223" w:rsidP="00A5574B">
      <w:pPr>
        <w:pStyle w:val="NoSpacing"/>
        <w:numPr>
          <w:ilvl w:val="0"/>
          <w:numId w:val="3"/>
        </w:numPr>
        <w:rPr>
          <w:rFonts w:ascii="Times New Roman" w:hAnsi="Times New Roman" w:cs="Times New Roman"/>
          <w:sz w:val="24"/>
          <w:szCs w:val="24"/>
        </w:rPr>
      </w:pPr>
      <w:r w:rsidRPr="00802D04">
        <w:rPr>
          <w:rFonts w:ascii="Times New Roman" w:hAnsi="Times New Roman" w:cs="Times New Roman"/>
          <w:sz w:val="24"/>
          <w:szCs w:val="24"/>
        </w:rPr>
        <w:t>When the BLM receives a proposal for a change of operator in writing.</w:t>
      </w:r>
    </w:p>
    <w:p w14:paraId="6669ADFE" w14:textId="77777777" w:rsidR="00B74223" w:rsidRPr="00802D04" w:rsidRDefault="00B74223" w:rsidP="00A5574B">
      <w:pPr>
        <w:pStyle w:val="NoSpacing"/>
        <w:ind w:left="720"/>
        <w:rPr>
          <w:rFonts w:ascii="Times New Roman" w:hAnsi="Times New Roman" w:cs="Times New Roman"/>
          <w:sz w:val="24"/>
          <w:szCs w:val="24"/>
        </w:rPr>
      </w:pPr>
    </w:p>
    <w:p w14:paraId="7F44C7E8" w14:textId="77777777" w:rsidR="00B74223" w:rsidRPr="00802D04" w:rsidRDefault="00B74223" w:rsidP="00A5574B">
      <w:pPr>
        <w:pStyle w:val="NoSpacing"/>
        <w:numPr>
          <w:ilvl w:val="0"/>
          <w:numId w:val="3"/>
        </w:numPr>
        <w:rPr>
          <w:rFonts w:ascii="Times New Roman" w:hAnsi="Times New Roman" w:cs="Times New Roman"/>
          <w:sz w:val="24"/>
          <w:szCs w:val="24"/>
        </w:rPr>
      </w:pPr>
      <w:r w:rsidRPr="00802D04">
        <w:rPr>
          <w:rFonts w:ascii="Times New Roman" w:hAnsi="Times New Roman" w:cs="Times New Roman"/>
          <w:sz w:val="24"/>
          <w:szCs w:val="24"/>
        </w:rPr>
        <w:t>Prior to approval of a successor unit operator or successor communization operator.</w:t>
      </w:r>
    </w:p>
    <w:p w14:paraId="0CB5F8EF" w14:textId="77777777" w:rsidR="00B74223" w:rsidRPr="00802D04" w:rsidRDefault="00B74223" w:rsidP="00A5574B">
      <w:pPr>
        <w:pStyle w:val="NoSpacing"/>
        <w:ind w:left="720"/>
        <w:rPr>
          <w:rFonts w:ascii="Times New Roman" w:hAnsi="Times New Roman" w:cs="Times New Roman"/>
          <w:sz w:val="24"/>
          <w:szCs w:val="24"/>
        </w:rPr>
      </w:pPr>
    </w:p>
    <w:p w14:paraId="3C1BA0CC" w14:textId="77777777" w:rsidR="00B74223" w:rsidRPr="00802D04" w:rsidRDefault="00B74223" w:rsidP="00A5574B">
      <w:pPr>
        <w:pStyle w:val="NoSpacing"/>
        <w:numPr>
          <w:ilvl w:val="0"/>
          <w:numId w:val="3"/>
        </w:numPr>
        <w:rPr>
          <w:rFonts w:ascii="Times New Roman" w:hAnsi="Times New Roman" w:cs="Times New Roman"/>
          <w:sz w:val="24"/>
          <w:szCs w:val="24"/>
        </w:rPr>
      </w:pPr>
      <w:r w:rsidRPr="00802D04">
        <w:rPr>
          <w:rFonts w:ascii="Times New Roman" w:hAnsi="Times New Roman" w:cs="Times New Roman"/>
          <w:sz w:val="24"/>
          <w:szCs w:val="24"/>
        </w:rPr>
        <w:t>Prior to approval of a record title assignment or a transfer of operating rights if the property contains any wells that have been idle for 7 years or longer.</w:t>
      </w:r>
    </w:p>
    <w:p w14:paraId="0AF47FE3" w14:textId="77777777" w:rsidR="00B74223" w:rsidRPr="00802D04" w:rsidRDefault="00B74223" w:rsidP="00A5574B">
      <w:pPr>
        <w:pStyle w:val="NoSpacing"/>
        <w:rPr>
          <w:rFonts w:ascii="Times New Roman" w:hAnsi="Times New Roman" w:cs="Times New Roman"/>
          <w:sz w:val="24"/>
          <w:szCs w:val="24"/>
        </w:rPr>
      </w:pPr>
    </w:p>
    <w:p w14:paraId="60DAEFC5" w14:textId="2F20935D" w:rsidR="00B74223" w:rsidRPr="00802D04" w:rsidRDefault="00B74223" w:rsidP="00A5574B">
      <w:pPr>
        <w:pStyle w:val="NoSpacing"/>
        <w:numPr>
          <w:ilvl w:val="0"/>
          <w:numId w:val="3"/>
        </w:numPr>
        <w:rPr>
          <w:rFonts w:ascii="Times New Roman" w:hAnsi="Times New Roman" w:cs="Times New Roman"/>
          <w:sz w:val="24"/>
          <w:szCs w:val="24"/>
        </w:rPr>
      </w:pPr>
      <w:r w:rsidRPr="00802D04">
        <w:rPr>
          <w:rFonts w:ascii="Times New Roman" w:hAnsi="Times New Roman" w:cs="Times New Roman"/>
          <w:sz w:val="24"/>
          <w:szCs w:val="24"/>
        </w:rPr>
        <w:t xml:space="preserve">Whenever the operator submits an Application for Permit to Drill (APD) and the BLM has not reviewed the bond adequacy within the last </w:t>
      </w:r>
      <w:r w:rsidR="0016760A">
        <w:rPr>
          <w:rFonts w:ascii="Times New Roman" w:hAnsi="Times New Roman" w:cs="Times New Roman"/>
          <w:sz w:val="24"/>
          <w:szCs w:val="24"/>
        </w:rPr>
        <w:t xml:space="preserve">5 </w:t>
      </w:r>
      <w:r w:rsidRPr="00802D04">
        <w:rPr>
          <w:rFonts w:ascii="Times New Roman" w:hAnsi="Times New Roman" w:cs="Times New Roman"/>
          <w:sz w:val="24"/>
          <w:szCs w:val="24"/>
        </w:rPr>
        <w:t>years.</w:t>
      </w:r>
    </w:p>
    <w:p w14:paraId="4A2D3D45" w14:textId="77777777" w:rsidR="00B74223" w:rsidRPr="00802D04" w:rsidRDefault="00B74223" w:rsidP="00A5574B">
      <w:pPr>
        <w:pStyle w:val="NoSpacing"/>
        <w:rPr>
          <w:rFonts w:ascii="Times New Roman" w:hAnsi="Times New Roman" w:cs="Times New Roman"/>
          <w:sz w:val="24"/>
          <w:szCs w:val="24"/>
        </w:rPr>
      </w:pPr>
    </w:p>
    <w:p w14:paraId="44945EB3" w14:textId="77777777" w:rsidR="00B74223" w:rsidRPr="00802D04" w:rsidRDefault="00B74223" w:rsidP="00A5574B">
      <w:pPr>
        <w:pStyle w:val="NoSpacing"/>
        <w:numPr>
          <w:ilvl w:val="0"/>
          <w:numId w:val="3"/>
        </w:numPr>
        <w:rPr>
          <w:rFonts w:ascii="Times New Roman" w:hAnsi="Times New Roman" w:cs="Times New Roman"/>
          <w:sz w:val="24"/>
          <w:szCs w:val="24"/>
        </w:rPr>
      </w:pPr>
      <w:r w:rsidRPr="00802D04">
        <w:rPr>
          <w:rFonts w:ascii="Times New Roman" w:hAnsi="Times New Roman" w:cs="Times New Roman"/>
          <w:sz w:val="24"/>
          <w:szCs w:val="24"/>
        </w:rPr>
        <w:t>Whenever the operator(s) fails to timely plug and abandon a well or adequately reclaim the land.</w:t>
      </w:r>
    </w:p>
    <w:p w14:paraId="0B01E2AE" w14:textId="77777777" w:rsidR="00B74223" w:rsidRPr="00802D04" w:rsidRDefault="00B74223" w:rsidP="00A5574B">
      <w:pPr>
        <w:pStyle w:val="NoSpacing"/>
        <w:rPr>
          <w:rFonts w:ascii="Times New Roman" w:hAnsi="Times New Roman" w:cs="Times New Roman"/>
          <w:sz w:val="24"/>
          <w:szCs w:val="24"/>
        </w:rPr>
      </w:pPr>
    </w:p>
    <w:p w14:paraId="6261E508" w14:textId="5B0527B9" w:rsidR="00B74223" w:rsidRPr="00802D04" w:rsidRDefault="00B74223" w:rsidP="00A5574B">
      <w:pPr>
        <w:pStyle w:val="NoSpacing"/>
        <w:numPr>
          <w:ilvl w:val="0"/>
          <w:numId w:val="3"/>
        </w:numPr>
        <w:rPr>
          <w:rFonts w:ascii="Times New Roman" w:hAnsi="Times New Roman" w:cs="Times New Roman"/>
          <w:sz w:val="24"/>
          <w:szCs w:val="24"/>
        </w:rPr>
      </w:pPr>
      <w:r w:rsidRPr="00802D04">
        <w:rPr>
          <w:rFonts w:ascii="Times New Roman" w:hAnsi="Times New Roman" w:cs="Times New Roman"/>
          <w:sz w:val="24"/>
          <w:szCs w:val="24"/>
        </w:rPr>
        <w:t xml:space="preserve">If the </w:t>
      </w:r>
      <w:r w:rsidR="00AC06E8">
        <w:rPr>
          <w:rFonts w:ascii="Times New Roman" w:hAnsi="Times New Roman" w:cs="Times New Roman"/>
          <w:sz w:val="24"/>
          <w:szCs w:val="24"/>
        </w:rPr>
        <w:t>Authorized</w:t>
      </w:r>
      <w:r w:rsidR="00E021F4">
        <w:rPr>
          <w:rFonts w:ascii="Times New Roman" w:hAnsi="Times New Roman" w:cs="Times New Roman"/>
          <w:sz w:val="24"/>
          <w:szCs w:val="24"/>
        </w:rPr>
        <w:t xml:space="preserve"> </w:t>
      </w:r>
      <w:r w:rsidR="00AC06E8">
        <w:rPr>
          <w:rFonts w:ascii="Times New Roman" w:hAnsi="Times New Roman" w:cs="Times New Roman"/>
          <w:sz w:val="24"/>
          <w:szCs w:val="24"/>
        </w:rPr>
        <w:t>Officer</w:t>
      </w:r>
      <w:r w:rsidR="00E021F4">
        <w:rPr>
          <w:rFonts w:ascii="Times New Roman" w:hAnsi="Times New Roman" w:cs="Times New Roman"/>
          <w:sz w:val="24"/>
          <w:szCs w:val="24"/>
        </w:rPr>
        <w:t xml:space="preserve"> (</w:t>
      </w:r>
      <w:r w:rsidRPr="00802D04">
        <w:rPr>
          <w:rFonts w:ascii="Times New Roman" w:hAnsi="Times New Roman" w:cs="Times New Roman"/>
          <w:sz w:val="24"/>
          <w:szCs w:val="24"/>
        </w:rPr>
        <w:t>AO</w:t>
      </w:r>
      <w:r w:rsidR="00E021F4">
        <w:rPr>
          <w:rFonts w:ascii="Times New Roman" w:hAnsi="Times New Roman" w:cs="Times New Roman"/>
          <w:sz w:val="24"/>
          <w:szCs w:val="24"/>
        </w:rPr>
        <w:t>)</w:t>
      </w:r>
      <w:r w:rsidRPr="00802D04">
        <w:rPr>
          <w:rFonts w:ascii="Times New Roman" w:hAnsi="Times New Roman" w:cs="Times New Roman"/>
          <w:sz w:val="24"/>
          <w:szCs w:val="24"/>
        </w:rPr>
        <w:t xml:space="preserve"> deems a bond review is necessary following repeated </w:t>
      </w:r>
      <w:r w:rsidR="00AF072F">
        <w:rPr>
          <w:rFonts w:ascii="Times New Roman" w:hAnsi="Times New Roman" w:cs="Times New Roman"/>
          <w:sz w:val="24"/>
          <w:szCs w:val="24"/>
        </w:rPr>
        <w:t>Incidents of Non Compliance (</w:t>
      </w:r>
      <w:r w:rsidRPr="00802D04">
        <w:rPr>
          <w:rFonts w:ascii="Times New Roman" w:hAnsi="Times New Roman" w:cs="Times New Roman"/>
          <w:sz w:val="24"/>
          <w:szCs w:val="24"/>
        </w:rPr>
        <w:t>INCs</w:t>
      </w:r>
      <w:r w:rsidR="00AF072F">
        <w:rPr>
          <w:rFonts w:ascii="Times New Roman" w:hAnsi="Times New Roman" w:cs="Times New Roman"/>
          <w:sz w:val="24"/>
          <w:szCs w:val="24"/>
        </w:rPr>
        <w:t>)</w:t>
      </w:r>
      <w:r w:rsidRPr="00802D04">
        <w:rPr>
          <w:rFonts w:ascii="Times New Roman" w:hAnsi="Times New Roman" w:cs="Times New Roman"/>
          <w:sz w:val="24"/>
          <w:szCs w:val="24"/>
        </w:rPr>
        <w:t xml:space="preserve"> or any incident pertaining to </w:t>
      </w:r>
      <w:r w:rsidR="000172DB">
        <w:rPr>
          <w:rFonts w:ascii="Times New Roman" w:hAnsi="Times New Roman" w:cs="Times New Roman"/>
          <w:sz w:val="24"/>
          <w:szCs w:val="24"/>
        </w:rPr>
        <w:t>drilling without approval (</w:t>
      </w:r>
      <w:r w:rsidRPr="00802D04">
        <w:rPr>
          <w:rFonts w:ascii="Times New Roman" w:hAnsi="Times New Roman" w:cs="Times New Roman"/>
          <w:sz w:val="24"/>
          <w:szCs w:val="24"/>
        </w:rPr>
        <w:t>DWOA</w:t>
      </w:r>
      <w:r w:rsidR="000172DB">
        <w:rPr>
          <w:rFonts w:ascii="Times New Roman" w:hAnsi="Times New Roman" w:cs="Times New Roman"/>
          <w:sz w:val="24"/>
          <w:szCs w:val="24"/>
        </w:rPr>
        <w:t>)</w:t>
      </w:r>
      <w:r w:rsidRPr="00802D04">
        <w:rPr>
          <w:rFonts w:ascii="Times New Roman" w:hAnsi="Times New Roman" w:cs="Times New Roman"/>
          <w:sz w:val="24"/>
          <w:szCs w:val="24"/>
        </w:rPr>
        <w:t xml:space="preserve"> by an operator.</w:t>
      </w:r>
    </w:p>
    <w:p w14:paraId="609C4A1B" w14:textId="77777777" w:rsidR="00B74223" w:rsidRPr="00802D04" w:rsidRDefault="00B74223" w:rsidP="00A5574B">
      <w:pPr>
        <w:pStyle w:val="NoSpacing"/>
        <w:rPr>
          <w:rFonts w:ascii="Times New Roman" w:hAnsi="Times New Roman" w:cs="Times New Roman"/>
          <w:sz w:val="24"/>
          <w:szCs w:val="24"/>
        </w:rPr>
      </w:pPr>
    </w:p>
    <w:p w14:paraId="66D3E4B8" w14:textId="77777777" w:rsidR="00B74223" w:rsidRPr="00802D04" w:rsidRDefault="00B74223" w:rsidP="00A5574B">
      <w:pPr>
        <w:pStyle w:val="NoSpacing"/>
        <w:numPr>
          <w:ilvl w:val="0"/>
          <w:numId w:val="3"/>
        </w:numPr>
        <w:rPr>
          <w:rFonts w:ascii="Times New Roman" w:hAnsi="Times New Roman" w:cs="Times New Roman"/>
          <w:sz w:val="24"/>
          <w:szCs w:val="24"/>
        </w:rPr>
      </w:pPr>
      <w:r w:rsidRPr="00802D04">
        <w:rPr>
          <w:rFonts w:ascii="Times New Roman" w:hAnsi="Times New Roman" w:cs="Times New Roman"/>
          <w:sz w:val="24"/>
          <w:szCs w:val="24"/>
        </w:rPr>
        <w:t xml:space="preserve">If the U.S. Forest Service requests the BLM to increase the bond amount, the BLM will review and follow the bond guidance to determine the need for an increase.  However, to be consistent with the BLM Bond Adequacy Review policy as established in this IM, the AO has the responsibility to ensure that the bond amount meets the amount set by the applicable statutes and regulations, using the prescribed point system as outlined below. </w:t>
      </w:r>
    </w:p>
    <w:p w14:paraId="69FA4ACC" w14:textId="77777777" w:rsidR="00B74223" w:rsidRPr="00802D04" w:rsidRDefault="00B74223" w:rsidP="00A5574B">
      <w:pPr>
        <w:pStyle w:val="NoSpacing"/>
        <w:rPr>
          <w:rFonts w:ascii="Times New Roman" w:hAnsi="Times New Roman" w:cs="Times New Roman"/>
          <w:sz w:val="24"/>
          <w:szCs w:val="24"/>
        </w:rPr>
      </w:pPr>
    </w:p>
    <w:p w14:paraId="421459CA" w14:textId="6A2D780C" w:rsidR="00B74223" w:rsidRPr="00802D04" w:rsidRDefault="00B74223" w:rsidP="00A5574B">
      <w:pPr>
        <w:pStyle w:val="NoSpacing"/>
        <w:numPr>
          <w:ilvl w:val="0"/>
          <w:numId w:val="3"/>
        </w:numPr>
        <w:rPr>
          <w:rFonts w:ascii="Times New Roman" w:hAnsi="Times New Roman" w:cs="Times New Roman"/>
          <w:sz w:val="24"/>
          <w:szCs w:val="24"/>
        </w:rPr>
      </w:pPr>
      <w:r w:rsidRPr="00802D04">
        <w:rPr>
          <w:rFonts w:ascii="Times New Roman" w:hAnsi="Times New Roman" w:cs="Times New Roman"/>
          <w:sz w:val="24"/>
          <w:szCs w:val="24"/>
        </w:rPr>
        <w:t>Prior to approval of an APD. However, please note that the BLM will require a bond in an amount equal to the actual costs to permanently plug and abandon the subject well and adequately reclaim the lands if the same operator has caused the BLM to make a demand for p</w:t>
      </w:r>
      <w:r w:rsidR="0016760A">
        <w:rPr>
          <w:rFonts w:ascii="Times New Roman" w:hAnsi="Times New Roman" w:cs="Times New Roman"/>
          <w:sz w:val="24"/>
          <w:szCs w:val="24"/>
        </w:rPr>
        <w:t>ayment under a bond within the 5</w:t>
      </w:r>
      <w:r w:rsidRPr="00802D04">
        <w:rPr>
          <w:rFonts w:ascii="Times New Roman" w:hAnsi="Times New Roman" w:cs="Times New Roman"/>
          <w:sz w:val="24"/>
          <w:szCs w:val="24"/>
        </w:rPr>
        <w:t xml:space="preserve">-year period prior to the APD filing.   </w:t>
      </w:r>
    </w:p>
    <w:p w14:paraId="21C56085" w14:textId="77777777" w:rsidR="00B74223" w:rsidRPr="00802D04" w:rsidRDefault="00B74223" w:rsidP="009B3C0D">
      <w:pPr>
        <w:pStyle w:val="NoSpacing"/>
        <w:rPr>
          <w:rFonts w:ascii="Times New Roman" w:hAnsi="Times New Roman" w:cs="Times New Roman"/>
          <w:sz w:val="24"/>
          <w:szCs w:val="24"/>
        </w:rPr>
      </w:pPr>
    </w:p>
    <w:p w14:paraId="2C148265" w14:textId="77777777" w:rsidR="00B74223" w:rsidRPr="00802D04" w:rsidRDefault="00B74223" w:rsidP="009B3C0D">
      <w:pPr>
        <w:spacing w:after="0" w:line="240" w:lineRule="auto"/>
        <w:rPr>
          <w:rFonts w:ascii="Times New Roman" w:hAnsi="Times New Roman" w:cs="Times New Roman"/>
          <w:b/>
          <w:sz w:val="24"/>
          <w:szCs w:val="24"/>
        </w:rPr>
      </w:pPr>
      <w:r w:rsidRPr="00802D04">
        <w:rPr>
          <w:rFonts w:ascii="Times New Roman" w:hAnsi="Times New Roman" w:cs="Times New Roman"/>
          <w:sz w:val="24"/>
          <w:szCs w:val="24"/>
        </w:rPr>
        <w:t>The three critical areas resulting in the largest number of points awarded are the well status, the operator’s compliance history with BLM’s demands and instructions, and reclamation stewardship activities.  Point breakdowns, as used in the Bond Adequacy Review Excel Worksheet (Attachment 3), are as follows</w:t>
      </w:r>
      <w:r w:rsidRPr="00802D04">
        <w:rPr>
          <w:rFonts w:ascii="Times New Roman" w:hAnsi="Times New Roman" w:cs="Times New Roman"/>
          <w:b/>
          <w:sz w:val="24"/>
          <w:szCs w:val="24"/>
        </w:rPr>
        <w:t>:</w:t>
      </w:r>
    </w:p>
    <w:p w14:paraId="29DB1963" w14:textId="77777777" w:rsidR="00B74223" w:rsidRPr="00802D04" w:rsidRDefault="00B74223" w:rsidP="009B3C0D">
      <w:pPr>
        <w:spacing w:after="0" w:line="240" w:lineRule="auto"/>
        <w:rPr>
          <w:rFonts w:ascii="Times New Roman" w:hAnsi="Times New Roman" w:cs="Times New Roman"/>
          <w:b/>
          <w:sz w:val="24"/>
          <w:szCs w:val="24"/>
        </w:rPr>
      </w:pPr>
    </w:p>
    <w:p w14:paraId="5569A363" w14:textId="77777777" w:rsidR="00B74223" w:rsidRPr="00802D04" w:rsidRDefault="00B74223" w:rsidP="009B3C0D">
      <w:pPr>
        <w:spacing w:after="0" w:line="240" w:lineRule="auto"/>
        <w:rPr>
          <w:rFonts w:ascii="Times New Roman" w:hAnsi="Times New Roman" w:cs="Times New Roman"/>
          <w:b/>
          <w:sz w:val="24"/>
          <w:szCs w:val="24"/>
        </w:rPr>
      </w:pPr>
      <w:r w:rsidRPr="00802D04">
        <w:rPr>
          <w:rFonts w:ascii="Times New Roman" w:hAnsi="Times New Roman" w:cs="Times New Roman"/>
          <w:b/>
          <w:sz w:val="24"/>
          <w:szCs w:val="24"/>
        </w:rPr>
        <w:t>Status of each well covered by a specific bond</w:t>
      </w:r>
    </w:p>
    <w:p w14:paraId="50ADDE30" w14:textId="77777777" w:rsidR="00B74223" w:rsidRPr="00802D04" w:rsidRDefault="00B74223" w:rsidP="009B3C0D">
      <w:pPr>
        <w:spacing w:after="0" w:line="240" w:lineRule="auto"/>
        <w:rPr>
          <w:rFonts w:ascii="Times New Roman" w:hAnsi="Times New Roman" w:cs="Times New Roman"/>
          <w:b/>
          <w:sz w:val="24"/>
          <w:szCs w:val="24"/>
        </w:rPr>
      </w:pPr>
    </w:p>
    <w:p w14:paraId="3931AD62" w14:textId="77777777" w:rsidR="00B74223" w:rsidRPr="00802D04" w:rsidRDefault="00B74223" w:rsidP="00A5574B">
      <w:pPr>
        <w:pStyle w:val="ListParagraph"/>
        <w:numPr>
          <w:ilvl w:val="0"/>
          <w:numId w:val="1"/>
        </w:numPr>
        <w:spacing w:after="0" w:line="240" w:lineRule="auto"/>
        <w:ind w:left="792" w:right="144"/>
        <w:rPr>
          <w:rFonts w:ascii="Times New Roman" w:eastAsia="Calibri" w:hAnsi="Times New Roman" w:cs="Times New Roman"/>
          <w:sz w:val="24"/>
          <w:szCs w:val="24"/>
        </w:rPr>
      </w:pPr>
      <w:r w:rsidRPr="00802D04">
        <w:rPr>
          <w:rFonts w:ascii="Times New Roman" w:eastAsia="Calibri" w:hAnsi="Times New Roman" w:cs="Times New Roman"/>
          <w:sz w:val="24"/>
          <w:szCs w:val="24"/>
        </w:rPr>
        <w:t>For wells idle for more than 7 years, points are awarded as follows:</w:t>
      </w:r>
    </w:p>
    <w:p w14:paraId="41D54931" w14:textId="77777777" w:rsidR="00B74223" w:rsidRPr="00802D04" w:rsidRDefault="00B74223" w:rsidP="00A5574B">
      <w:pPr>
        <w:pStyle w:val="ListParagraph"/>
        <w:numPr>
          <w:ilvl w:val="0"/>
          <w:numId w:val="4"/>
        </w:numPr>
        <w:spacing w:after="0" w:line="240" w:lineRule="auto"/>
        <w:rPr>
          <w:rFonts w:ascii="Times New Roman" w:hAnsi="Times New Roman" w:cs="Times New Roman"/>
          <w:sz w:val="24"/>
          <w:szCs w:val="24"/>
          <w:u w:val="single"/>
        </w:rPr>
      </w:pPr>
      <w:r w:rsidRPr="00802D04">
        <w:rPr>
          <w:rFonts w:ascii="Times New Roman" w:hAnsi="Times New Roman" w:cs="Times New Roman"/>
          <w:sz w:val="24"/>
          <w:szCs w:val="24"/>
          <w:u w:val="single"/>
        </w:rPr>
        <w:t># of wells idle for more than 7 years, but less than 25 years</w:t>
      </w:r>
    </w:p>
    <w:p w14:paraId="2E65A64F" w14:textId="77777777" w:rsidR="00B74223" w:rsidRPr="00802D04" w:rsidRDefault="00B74223" w:rsidP="009B3C0D">
      <w:pPr>
        <w:pStyle w:val="ListParagraph"/>
        <w:spacing w:line="240" w:lineRule="auto"/>
        <w:ind w:left="1800"/>
        <w:rPr>
          <w:rFonts w:ascii="Times New Roman" w:eastAsia="Calibri" w:hAnsi="Times New Roman" w:cs="Times New Roman"/>
          <w:sz w:val="24"/>
          <w:szCs w:val="24"/>
        </w:rPr>
      </w:pPr>
      <w:r w:rsidRPr="00802D04">
        <w:rPr>
          <w:rFonts w:ascii="Times New Roman" w:eastAsia="Calibri" w:hAnsi="Times New Roman" w:cs="Times New Roman"/>
          <w:sz w:val="24"/>
          <w:szCs w:val="24"/>
        </w:rPr>
        <w:t>X [Average depth (TVD) of the idle wells]</w:t>
      </w:r>
    </w:p>
    <w:p w14:paraId="0CA9DF72" w14:textId="77777777" w:rsidR="00B74223" w:rsidRPr="00802D04" w:rsidRDefault="00A73901" w:rsidP="009B3C0D">
      <w:pPr>
        <w:pStyle w:val="ListParagraph"/>
        <w:spacing w:line="240" w:lineRule="auto"/>
        <w:ind w:left="1800"/>
        <w:rPr>
          <w:rFonts w:ascii="Times New Roman" w:eastAsia="Calibri" w:hAnsi="Times New Roman" w:cs="Times New Roman"/>
          <w:sz w:val="24"/>
          <w:szCs w:val="24"/>
          <w:u w:val="single"/>
        </w:rPr>
      </w:pPr>
      <w:r w:rsidRPr="00802D04">
        <w:rPr>
          <w:rFonts w:ascii="Times New Roman" w:eastAsia="Calibri" w:hAnsi="Times New Roman" w:cs="Times New Roman"/>
          <w:sz w:val="24"/>
          <w:szCs w:val="24"/>
        </w:rPr>
        <w:t xml:space="preserve">X (0.01) = </w:t>
      </w:r>
      <w:r w:rsidR="00B74223" w:rsidRPr="00802D04">
        <w:rPr>
          <w:rFonts w:ascii="Times New Roman" w:eastAsia="Calibri" w:hAnsi="Times New Roman" w:cs="Times New Roman"/>
          <w:sz w:val="24"/>
          <w:szCs w:val="24"/>
          <w:u w:val="single"/>
        </w:rPr>
        <w:t>Variable points</w:t>
      </w:r>
    </w:p>
    <w:p w14:paraId="6BEDDB79" w14:textId="77777777" w:rsidR="00B74223" w:rsidRPr="00802D04" w:rsidRDefault="00B74223" w:rsidP="009B3C0D">
      <w:pPr>
        <w:pStyle w:val="ListParagraph"/>
        <w:numPr>
          <w:ilvl w:val="0"/>
          <w:numId w:val="4"/>
        </w:numPr>
        <w:spacing w:after="0" w:line="240" w:lineRule="auto"/>
        <w:rPr>
          <w:rFonts w:ascii="Times New Roman" w:hAnsi="Times New Roman" w:cs="Times New Roman"/>
          <w:sz w:val="24"/>
          <w:szCs w:val="24"/>
          <w:u w:val="single"/>
        </w:rPr>
      </w:pPr>
      <w:r w:rsidRPr="00802D04">
        <w:rPr>
          <w:rFonts w:ascii="Times New Roman" w:hAnsi="Times New Roman" w:cs="Times New Roman"/>
          <w:sz w:val="24"/>
          <w:szCs w:val="24"/>
          <w:u w:val="single"/>
        </w:rPr>
        <w:t># of we</w:t>
      </w:r>
      <w:r w:rsidR="00A5574B" w:rsidRPr="00802D04">
        <w:rPr>
          <w:rFonts w:ascii="Times New Roman" w:hAnsi="Times New Roman" w:cs="Times New Roman"/>
          <w:sz w:val="24"/>
          <w:szCs w:val="24"/>
          <w:u w:val="single"/>
        </w:rPr>
        <w:t>lls idle for more than 25 years</w:t>
      </w:r>
      <w:r w:rsidRPr="00802D04">
        <w:rPr>
          <w:rFonts w:ascii="Times New Roman" w:hAnsi="Times New Roman" w:cs="Times New Roman"/>
          <w:sz w:val="24"/>
          <w:szCs w:val="24"/>
          <w:u w:val="single"/>
        </w:rPr>
        <w:t xml:space="preserve"> </w:t>
      </w:r>
    </w:p>
    <w:p w14:paraId="1F09A09A" w14:textId="77777777" w:rsidR="00B74223" w:rsidRPr="00802D04" w:rsidRDefault="00B74223" w:rsidP="009B3C0D">
      <w:pPr>
        <w:pStyle w:val="ListParagraph"/>
        <w:spacing w:line="240" w:lineRule="auto"/>
        <w:ind w:left="1800"/>
        <w:rPr>
          <w:rFonts w:ascii="Times New Roman" w:eastAsia="Calibri" w:hAnsi="Times New Roman" w:cs="Times New Roman"/>
          <w:sz w:val="24"/>
          <w:szCs w:val="24"/>
        </w:rPr>
      </w:pPr>
      <w:r w:rsidRPr="00802D04">
        <w:rPr>
          <w:rFonts w:ascii="Times New Roman" w:eastAsia="Calibri" w:hAnsi="Times New Roman" w:cs="Times New Roman"/>
          <w:sz w:val="24"/>
          <w:szCs w:val="24"/>
        </w:rPr>
        <w:lastRenderedPageBreak/>
        <w:t xml:space="preserve">X (Average </w:t>
      </w:r>
      <w:r w:rsidR="00A5574B" w:rsidRPr="00802D04">
        <w:rPr>
          <w:rFonts w:ascii="Times New Roman" w:eastAsia="Calibri" w:hAnsi="Times New Roman" w:cs="Times New Roman"/>
          <w:sz w:val="24"/>
          <w:szCs w:val="24"/>
        </w:rPr>
        <w:t xml:space="preserve">depth (TVD) </w:t>
      </w:r>
      <w:r w:rsidRPr="00802D04">
        <w:rPr>
          <w:rFonts w:ascii="Times New Roman" w:eastAsia="Calibri" w:hAnsi="Times New Roman" w:cs="Times New Roman"/>
          <w:sz w:val="24"/>
          <w:szCs w:val="24"/>
        </w:rPr>
        <w:t>of the idle wells)</w:t>
      </w:r>
    </w:p>
    <w:p w14:paraId="4F63004C" w14:textId="428172DB" w:rsidR="00A5574B" w:rsidRDefault="00A73901" w:rsidP="00A5574B">
      <w:pPr>
        <w:pStyle w:val="ListParagraph"/>
        <w:spacing w:line="240" w:lineRule="auto"/>
        <w:ind w:left="1800"/>
        <w:rPr>
          <w:rFonts w:ascii="Times New Roman" w:eastAsia="Calibri" w:hAnsi="Times New Roman" w:cs="Times New Roman"/>
          <w:sz w:val="24"/>
          <w:szCs w:val="24"/>
          <w:u w:val="single"/>
        </w:rPr>
      </w:pPr>
      <w:r w:rsidRPr="00802D04">
        <w:rPr>
          <w:rFonts w:ascii="Times New Roman" w:eastAsia="Calibri" w:hAnsi="Times New Roman" w:cs="Times New Roman"/>
          <w:sz w:val="24"/>
          <w:szCs w:val="24"/>
        </w:rPr>
        <w:t xml:space="preserve">X (0.02) = </w:t>
      </w:r>
      <w:r w:rsidR="00B74223" w:rsidRPr="00802D04">
        <w:rPr>
          <w:rFonts w:ascii="Times New Roman" w:eastAsia="Calibri" w:hAnsi="Times New Roman" w:cs="Times New Roman"/>
          <w:sz w:val="24"/>
          <w:szCs w:val="24"/>
          <w:u w:val="single"/>
        </w:rPr>
        <w:t>Variable points</w:t>
      </w:r>
    </w:p>
    <w:p w14:paraId="7B200B47" w14:textId="77777777" w:rsidR="00E021F4" w:rsidRPr="00802D04" w:rsidRDefault="00E021F4" w:rsidP="00A5574B">
      <w:pPr>
        <w:pStyle w:val="ListParagraph"/>
        <w:spacing w:line="240" w:lineRule="auto"/>
        <w:ind w:left="1800"/>
        <w:rPr>
          <w:rFonts w:ascii="Times New Roman" w:eastAsia="Calibri" w:hAnsi="Times New Roman" w:cs="Times New Roman"/>
          <w:sz w:val="24"/>
          <w:szCs w:val="24"/>
          <w:u w:val="single"/>
        </w:rPr>
      </w:pPr>
    </w:p>
    <w:tbl>
      <w:tblPr>
        <w:tblStyle w:val="TableGrid"/>
        <w:tblW w:w="990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7"/>
        <w:gridCol w:w="1638"/>
      </w:tblGrid>
      <w:tr w:rsidR="00A5574B" w:rsidRPr="00802D04" w14:paraId="17470061" w14:textId="77777777" w:rsidTr="00EE2B43">
        <w:tc>
          <w:tcPr>
            <w:tcW w:w="8267" w:type="dxa"/>
          </w:tcPr>
          <w:p w14:paraId="68B5619C" w14:textId="1E6A8F93" w:rsidR="00DB0678" w:rsidRDefault="00A5574B" w:rsidP="00AC06E8">
            <w:pPr>
              <w:pStyle w:val="ListParagraph"/>
              <w:numPr>
                <w:ilvl w:val="0"/>
                <w:numId w:val="1"/>
              </w:numPr>
              <w:rPr>
                <w:rFonts w:ascii="Times New Roman" w:eastAsia="Calibri" w:hAnsi="Times New Roman" w:cs="Times New Roman"/>
                <w:sz w:val="24"/>
                <w:szCs w:val="24"/>
              </w:rPr>
            </w:pPr>
            <w:r w:rsidRPr="00802D04">
              <w:rPr>
                <w:rFonts w:ascii="Times New Roman" w:eastAsia="Calibri" w:hAnsi="Times New Roman" w:cs="Times New Roman"/>
                <w:sz w:val="24"/>
                <w:szCs w:val="24"/>
              </w:rPr>
              <w:t xml:space="preserve">If the average oil production per oil well, per day, over the past 12 months is greater than 10 barrels per day; </w:t>
            </w:r>
            <w:r w:rsidR="00AC06E8">
              <w:rPr>
                <w:rFonts w:ascii="Times New Roman" w:eastAsia="Calibri" w:hAnsi="Times New Roman" w:cs="Times New Roman"/>
                <w:sz w:val="24"/>
                <w:szCs w:val="24"/>
              </w:rPr>
              <w:t>(Points credited if the operator do</w:t>
            </w:r>
            <w:r w:rsidR="00231DED">
              <w:rPr>
                <w:rFonts w:ascii="Times New Roman" w:eastAsia="Calibri" w:hAnsi="Times New Roman" w:cs="Times New Roman"/>
                <w:sz w:val="24"/>
                <w:szCs w:val="24"/>
              </w:rPr>
              <w:t>es</w:t>
            </w:r>
            <w:r w:rsidR="00AC06E8">
              <w:rPr>
                <w:rFonts w:ascii="Times New Roman" w:eastAsia="Calibri" w:hAnsi="Times New Roman" w:cs="Times New Roman"/>
                <w:sz w:val="24"/>
                <w:szCs w:val="24"/>
              </w:rPr>
              <w:t xml:space="preserve"> not have points from compliance history below).</w:t>
            </w:r>
          </w:p>
          <w:p w14:paraId="783C505E" w14:textId="5B6200E4" w:rsidR="00A5574B" w:rsidRPr="00DB0678" w:rsidRDefault="00DB0678" w:rsidP="00DB0678">
            <w:pPr>
              <w:ind w:left="10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06E8" w:rsidRPr="00DB0678">
              <w:rPr>
                <w:rFonts w:ascii="Times New Roman" w:eastAsia="Calibri" w:hAnsi="Times New Roman" w:cs="Times New Roman"/>
                <w:sz w:val="24"/>
                <w:szCs w:val="24"/>
              </w:rPr>
              <w:t xml:space="preserve">(YES -  </w:t>
            </w:r>
            <w:r w:rsidR="00AC06E8" w:rsidRPr="00A05F04">
              <w:rPr>
                <w:rFonts w:ascii="Times New Roman" w:eastAsia="Calibri" w:hAnsi="Times New Roman" w:cs="Times New Roman"/>
                <w:b/>
                <w:sz w:val="24"/>
                <w:szCs w:val="24"/>
              </w:rPr>
              <w:t>50 points credit</w:t>
            </w:r>
            <w:r w:rsidR="00AC06E8" w:rsidRPr="00DB0678">
              <w:rPr>
                <w:rFonts w:ascii="Times New Roman" w:eastAsia="Calibri" w:hAnsi="Times New Roman" w:cs="Times New Roman"/>
                <w:sz w:val="24"/>
                <w:szCs w:val="24"/>
              </w:rPr>
              <w:t xml:space="preserve"> or NO – 0 credit)</w:t>
            </w:r>
          </w:p>
        </w:tc>
        <w:tc>
          <w:tcPr>
            <w:tcW w:w="1638" w:type="dxa"/>
          </w:tcPr>
          <w:p w14:paraId="3CE42407" w14:textId="026E5B1A" w:rsidR="00A5574B" w:rsidRPr="00802D04" w:rsidRDefault="00AC06E8" w:rsidP="00A5574B">
            <w:pPr>
              <w:pStyle w:val="ListParagraph"/>
              <w:ind w:left="0"/>
              <w:jc w:val="right"/>
              <w:rPr>
                <w:rFonts w:ascii="Times New Roman" w:eastAsia="Calibri" w:hAnsi="Times New Roman" w:cs="Times New Roman"/>
                <w:sz w:val="24"/>
                <w:szCs w:val="24"/>
              </w:rPr>
            </w:pPr>
            <w:r w:rsidRPr="00AC06E8">
              <w:rPr>
                <w:rFonts w:ascii="Times New Roman" w:eastAsia="Calibri" w:hAnsi="Times New Roman" w:cs="Times New Roman"/>
                <w:color w:val="FF0000"/>
                <w:sz w:val="24"/>
                <w:szCs w:val="24"/>
                <w:u w:val="single"/>
              </w:rPr>
              <w:t>-</w:t>
            </w:r>
            <w:r w:rsidR="00A5574B" w:rsidRPr="00AC06E8">
              <w:rPr>
                <w:rFonts w:ascii="Times New Roman" w:eastAsia="Calibri" w:hAnsi="Times New Roman" w:cs="Times New Roman"/>
                <w:color w:val="FF0000"/>
                <w:sz w:val="24"/>
                <w:szCs w:val="24"/>
                <w:u w:val="single"/>
              </w:rPr>
              <w:t>50 points</w:t>
            </w:r>
          </w:p>
        </w:tc>
      </w:tr>
      <w:tr w:rsidR="00A5574B" w:rsidRPr="00802D04" w14:paraId="3CCBBFBC" w14:textId="77777777" w:rsidTr="00EE2B43">
        <w:tc>
          <w:tcPr>
            <w:tcW w:w="8267" w:type="dxa"/>
          </w:tcPr>
          <w:p w14:paraId="19E648EE" w14:textId="7C5DDB7C" w:rsidR="00A5574B" w:rsidRPr="00802D04" w:rsidRDefault="00A5574B" w:rsidP="00C12C29">
            <w:pPr>
              <w:pStyle w:val="ListParagraph"/>
              <w:numPr>
                <w:ilvl w:val="0"/>
                <w:numId w:val="1"/>
              </w:numPr>
              <w:rPr>
                <w:rFonts w:ascii="Times New Roman" w:eastAsia="Calibri" w:hAnsi="Times New Roman" w:cs="Times New Roman"/>
                <w:b/>
                <w:sz w:val="24"/>
                <w:szCs w:val="24"/>
              </w:rPr>
            </w:pPr>
            <w:r w:rsidRPr="00802D04">
              <w:rPr>
                <w:rFonts w:ascii="Times New Roman" w:eastAsia="Calibri" w:hAnsi="Times New Roman" w:cs="Times New Roman"/>
                <w:sz w:val="24"/>
                <w:szCs w:val="24"/>
              </w:rPr>
              <w:t xml:space="preserve">If the average gas production per gas well, per day, over the past 12 months is more than 60 thousand cubic feet (MCF) per day; </w:t>
            </w:r>
            <w:r w:rsidR="00AC06E8">
              <w:rPr>
                <w:rFonts w:ascii="Times New Roman" w:eastAsia="Calibri" w:hAnsi="Times New Roman" w:cs="Times New Roman"/>
                <w:sz w:val="24"/>
                <w:szCs w:val="24"/>
              </w:rPr>
              <w:t xml:space="preserve">(Points credited if the operator </w:t>
            </w:r>
            <w:r w:rsidR="00C12C29">
              <w:rPr>
                <w:rFonts w:ascii="Times New Roman" w:eastAsia="Calibri" w:hAnsi="Times New Roman" w:cs="Times New Roman"/>
                <w:sz w:val="24"/>
                <w:szCs w:val="24"/>
              </w:rPr>
              <w:t xml:space="preserve">does </w:t>
            </w:r>
            <w:r w:rsidR="00AC06E8">
              <w:rPr>
                <w:rFonts w:ascii="Times New Roman" w:eastAsia="Calibri" w:hAnsi="Times New Roman" w:cs="Times New Roman"/>
                <w:sz w:val="24"/>
                <w:szCs w:val="24"/>
              </w:rPr>
              <w:t xml:space="preserve">not have points from compliance history below) - </w:t>
            </w:r>
            <w:r w:rsidR="00AC06E8" w:rsidRPr="00802D04">
              <w:rPr>
                <w:rFonts w:ascii="Times New Roman" w:eastAsia="Calibri" w:hAnsi="Times New Roman" w:cs="Times New Roman"/>
                <w:sz w:val="24"/>
                <w:szCs w:val="24"/>
              </w:rPr>
              <w:t>(</w:t>
            </w:r>
            <w:r w:rsidR="00AC06E8">
              <w:rPr>
                <w:rFonts w:ascii="Times New Roman" w:eastAsia="Calibri" w:hAnsi="Times New Roman" w:cs="Times New Roman"/>
                <w:sz w:val="24"/>
                <w:szCs w:val="24"/>
              </w:rPr>
              <w:t xml:space="preserve">YES -  </w:t>
            </w:r>
            <w:r w:rsidR="00AC06E8" w:rsidRPr="00A05F04">
              <w:rPr>
                <w:rFonts w:ascii="Times New Roman" w:eastAsia="Calibri" w:hAnsi="Times New Roman" w:cs="Times New Roman"/>
                <w:b/>
                <w:sz w:val="24"/>
                <w:szCs w:val="24"/>
              </w:rPr>
              <w:t>50 points credit</w:t>
            </w:r>
            <w:r w:rsidR="00AC06E8">
              <w:rPr>
                <w:rFonts w:ascii="Times New Roman" w:eastAsia="Calibri" w:hAnsi="Times New Roman" w:cs="Times New Roman"/>
                <w:sz w:val="24"/>
                <w:szCs w:val="24"/>
              </w:rPr>
              <w:t xml:space="preserve"> or NO – 0 credit)</w:t>
            </w:r>
          </w:p>
        </w:tc>
        <w:tc>
          <w:tcPr>
            <w:tcW w:w="1638" w:type="dxa"/>
          </w:tcPr>
          <w:p w14:paraId="32889513" w14:textId="44C99A4C" w:rsidR="00A5574B" w:rsidRPr="00802D04" w:rsidRDefault="00AC06E8" w:rsidP="00EE2B43">
            <w:pPr>
              <w:jc w:val="right"/>
              <w:rPr>
                <w:rFonts w:ascii="Times New Roman" w:eastAsia="Calibri" w:hAnsi="Times New Roman" w:cs="Times New Roman"/>
                <w:sz w:val="24"/>
                <w:szCs w:val="24"/>
              </w:rPr>
            </w:pPr>
            <w:r w:rsidRPr="00AC06E8">
              <w:rPr>
                <w:rFonts w:ascii="Times New Roman" w:eastAsia="Calibri" w:hAnsi="Times New Roman" w:cs="Times New Roman"/>
                <w:color w:val="FF0000"/>
                <w:sz w:val="24"/>
                <w:szCs w:val="24"/>
                <w:u w:val="single"/>
              </w:rPr>
              <w:t>-</w:t>
            </w:r>
            <w:r w:rsidR="00EE2B43" w:rsidRPr="00AC06E8">
              <w:rPr>
                <w:rFonts w:ascii="Times New Roman" w:eastAsia="Calibri" w:hAnsi="Times New Roman" w:cs="Times New Roman"/>
                <w:color w:val="FF0000"/>
                <w:sz w:val="24"/>
                <w:szCs w:val="24"/>
                <w:u w:val="single"/>
              </w:rPr>
              <w:t>50 points</w:t>
            </w:r>
          </w:p>
        </w:tc>
      </w:tr>
    </w:tbl>
    <w:p w14:paraId="6F877439" w14:textId="77777777" w:rsidR="00B74223" w:rsidRPr="00802D04" w:rsidRDefault="00B74223" w:rsidP="009B3C0D">
      <w:pPr>
        <w:spacing w:after="0" w:line="240" w:lineRule="auto"/>
        <w:contextualSpacing/>
        <w:rPr>
          <w:rFonts w:ascii="Times New Roman" w:hAnsi="Times New Roman" w:cs="Times New Roman"/>
          <w:b/>
          <w:sz w:val="24"/>
          <w:szCs w:val="24"/>
        </w:rPr>
      </w:pPr>
    </w:p>
    <w:p w14:paraId="3A82A23F" w14:textId="77777777" w:rsidR="00B74223" w:rsidRPr="00802D04" w:rsidRDefault="00B74223" w:rsidP="009B3C0D">
      <w:pPr>
        <w:spacing w:after="0" w:line="240" w:lineRule="auto"/>
        <w:contextualSpacing/>
        <w:rPr>
          <w:rFonts w:ascii="Times New Roman" w:hAnsi="Times New Roman" w:cs="Times New Roman"/>
          <w:b/>
          <w:sz w:val="24"/>
          <w:szCs w:val="24"/>
        </w:rPr>
      </w:pPr>
      <w:r w:rsidRPr="00802D04">
        <w:rPr>
          <w:rFonts w:ascii="Times New Roman" w:hAnsi="Times New Roman" w:cs="Times New Roman"/>
          <w:b/>
          <w:sz w:val="24"/>
          <w:szCs w:val="24"/>
        </w:rPr>
        <w:t>Operator-specific compliance history</w:t>
      </w:r>
    </w:p>
    <w:p w14:paraId="40972853" w14:textId="77777777" w:rsidR="005F4593" w:rsidRPr="00802D04" w:rsidRDefault="005F4593" w:rsidP="009B3C0D">
      <w:pPr>
        <w:spacing w:after="0" w:line="240" w:lineRule="auto"/>
        <w:contextualSpacing/>
        <w:rPr>
          <w:rFonts w:ascii="Times New Roman" w:hAnsi="Times New Roman" w:cs="Times New Roman"/>
          <w:sz w:val="24"/>
          <w:szCs w:val="24"/>
        </w:rPr>
      </w:pPr>
    </w:p>
    <w:tbl>
      <w:tblPr>
        <w:tblStyle w:val="TableGrid"/>
        <w:tblW w:w="927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8"/>
        <w:gridCol w:w="1372"/>
      </w:tblGrid>
      <w:tr w:rsidR="005F4593" w:rsidRPr="00802D04" w14:paraId="496F4CF8" w14:textId="77777777" w:rsidTr="00802D04">
        <w:trPr>
          <w:trHeight w:val="341"/>
        </w:trPr>
        <w:tc>
          <w:tcPr>
            <w:tcW w:w="7898" w:type="dxa"/>
          </w:tcPr>
          <w:p w14:paraId="01F2BF0A" w14:textId="77777777" w:rsidR="005F4593" w:rsidRPr="00802D04" w:rsidRDefault="005F4593" w:rsidP="009B3C0D">
            <w:pPr>
              <w:pStyle w:val="ListParagraph"/>
              <w:numPr>
                <w:ilvl w:val="0"/>
                <w:numId w:val="7"/>
              </w:numPr>
              <w:rPr>
                <w:rFonts w:ascii="Times New Roman" w:hAnsi="Times New Roman" w:cs="Times New Roman"/>
                <w:sz w:val="24"/>
                <w:szCs w:val="24"/>
              </w:rPr>
            </w:pPr>
            <w:r w:rsidRPr="00802D04">
              <w:rPr>
                <w:rFonts w:ascii="Times New Roman" w:hAnsi="Times New Roman" w:cs="Times New Roman"/>
                <w:sz w:val="24"/>
                <w:szCs w:val="24"/>
              </w:rPr>
              <w:t>For each</w:t>
            </w:r>
            <w:r w:rsidRPr="00802D04">
              <w:rPr>
                <w:rFonts w:ascii="Times New Roman" w:hAnsi="Times New Roman" w:cs="Times New Roman"/>
                <w:b/>
                <w:sz w:val="24"/>
                <w:szCs w:val="24"/>
              </w:rPr>
              <w:t xml:space="preserve"> </w:t>
            </w:r>
            <w:r w:rsidRPr="00802D04">
              <w:rPr>
                <w:rFonts w:ascii="Times New Roman" w:hAnsi="Times New Roman" w:cs="Times New Roman"/>
                <w:sz w:val="24"/>
                <w:szCs w:val="24"/>
              </w:rPr>
              <w:t>major INC</w:t>
            </w:r>
            <w:r w:rsidRPr="00802D04">
              <w:rPr>
                <w:rStyle w:val="FootnoteReference"/>
                <w:rFonts w:ascii="Times New Roman" w:hAnsi="Times New Roman"/>
                <w:sz w:val="24"/>
                <w:szCs w:val="24"/>
              </w:rPr>
              <w:footnoteReference w:id="1"/>
            </w:r>
            <w:r w:rsidRPr="00802D04">
              <w:rPr>
                <w:rFonts w:ascii="Times New Roman" w:hAnsi="Times New Roman" w:cs="Times New Roman"/>
                <w:sz w:val="24"/>
                <w:szCs w:val="24"/>
              </w:rPr>
              <w:t xml:space="preserve"> within the last 3 years.</w:t>
            </w:r>
          </w:p>
        </w:tc>
        <w:tc>
          <w:tcPr>
            <w:tcW w:w="1372" w:type="dxa"/>
          </w:tcPr>
          <w:p w14:paraId="58978FAA" w14:textId="77777777" w:rsidR="005F4593" w:rsidRPr="00802D04" w:rsidRDefault="005F4593" w:rsidP="009B3C0D">
            <w:pPr>
              <w:contextualSpacing/>
              <w:jc w:val="right"/>
              <w:rPr>
                <w:rFonts w:ascii="Times New Roman" w:hAnsi="Times New Roman" w:cs="Times New Roman"/>
                <w:sz w:val="24"/>
                <w:szCs w:val="24"/>
                <w:u w:val="single"/>
              </w:rPr>
            </w:pPr>
            <w:r w:rsidRPr="00802D04">
              <w:rPr>
                <w:rFonts w:ascii="Times New Roman" w:hAnsi="Times New Roman" w:cs="Times New Roman"/>
                <w:sz w:val="24"/>
                <w:szCs w:val="24"/>
                <w:u w:val="single"/>
              </w:rPr>
              <w:t>10 Points</w:t>
            </w:r>
          </w:p>
        </w:tc>
      </w:tr>
      <w:tr w:rsidR="005F4593" w:rsidRPr="00802D04" w14:paraId="6763C241" w14:textId="77777777" w:rsidTr="00802D04">
        <w:trPr>
          <w:trHeight w:val="620"/>
        </w:trPr>
        <w:tc>
          <w:tcPr>
            <w:tcW w:w="7898" w:type="dxa"/>
          </w:tcPr>
          <w:p w14:paraId="4DE89943" w14:textId="77777777" w:rsidR="005F4593" w:rsidRPr="00802D04" w:rsidRDefault="005F4593" w:rsidP="009B3C0D">
            <w:pPr>
              <w:pStyle w:val="ListParagraph"/>
              <w:numPr>
                <w:ilvl w:val="0"/>
                <w:numId w:val="7"/>
              </w:numPr>
              <w:rPr>
                <w:rFonts w:ascii="Times New Roman" w:hAnsi="Times New Roman" w:cs="Times New Roman"/>
                <w:sz w:val="24"/>
                <w:szCs w:val="24"/>
              </w:rPr>
            </w:pPr>
            <w:r w:rsidRPr="00802D04">
              <w:rPr>
                <w:rFonts w:ascii="Times New Roman" w:hAnsi="Times New Roman" w:cs="Times New Roman"/>
                <w:sz w:val="24"/>
                <w:szCs w:val="24"/>
              </w:rPr>
              <w:t>For each separate incident of DWOA, in addition to number 1 (directly above).</w:t>
            </w:r>
          </w:p>
        </w:tc>
        <w:tc>
          <w:tcPr>
            <w:tcW w:w="1372" w:type="dxa"/>
          </w:tcPr>
          <w:p w14:paraId="6F4C9101" w14:textId="77777777" w:rsidR="005F4593" w:rsidRPr="00802D04" w:rsidRDefault="005F4593" w:rsidP="009B3C0D">
            <w:pPr>
              <w:contextualSpacing/>
              <w:jc w:val="right"/>
              <w:rPr>
                <w:rFonts w:ascii="Times New Roman" w:hAnsi="Times New Roman" w:cs="Times New Roman"/>
                <w:sz w:val="24"/>
                <w:szCs w:val="24"/>
                <w:u w:val="single"/>
              </w:rPr>
            </w:pPr>
            <w:r w:rsidRPr="00802D04">
              <w:rPr>
                <w:rFonts w:ascii="Times New Roman" w:hAnsi="Times New Roman" w:cs="Times New Roman"/>
                <w:sz w:val="24"/>
                <w:szCs w:val="24"/>
                <w:u w:val="single"/>
              </w:rPr>
              <w:t>100 Points</w:t>
            </w:r>
          </w:p>
        </w:tc>
      </w:tr>
      <w:tr w:rsidR="005F4593" w:rsidRPr="00802D04" w14:paraId="0B1046BF" w14:textId="77777777" w:rsidTr="00802D04">
        <w:trPr>
          <w:trHeight w:val="611"/>
        </w:trPr>
        <w:tc>
          <w:tcPr>
            <w:tcW w:w="7898" w:type="dxa"/>
          </w:tcPr>
          <w:p w14:paraId="79203138" w14:textId="77777777" w:rsidR="005F4593" w:rsidRPr="00802D04" w:rsidRDefault="005F4593" w:rsidP="009B3C0D">
            <w:pPr>
              <w:pStyle w:val="ListParagraph"/>
              <w:numPr>
                <w:ilvl w:val="0"/>
                <w:numId w:val="7"/>
              </w:numPr>
              <w:rPr>
                <w:rFonts w:ascii="Times New Roman" w:hAnsi="Times New Roman" w:cs="Times New Roman"/>
                <w:sz w:val="24"/>
                <w:szCs w:val="24"/>
              </w:rPr>
            </w:pPr>
            <w:r w:rsidRPr="00802D04">
              <w:rPr>
                <w:rFonts w:ascii="Times New Roman" w:hAnsi="Times New Roman" w:cs="Times New Roman"/>
                <w:sz w:val="24"/>
                <w:szCs w:val="24"/>
              </w:rPr>
              <w:t>For each avoidable major undesirable event, as defined in NTL-3A, during the last 3 years</w:t>
            </w:r>
          </w:p>
        </w:tc>
        <w:tc>
          <w:tcPr>
            <w:tcW w:w="1372" w:type="dxa"/>
          </w:tcPr>
          <w:p w14:paraId="630D29FA" w14:textId="77777777" w:rsidR="005F4593" w:rsidRPr="00802D04" w:rsidRDefault="005F4593" w:rsidP="009B3C0D">
            <w:pPr>
              <w:contextualSpacing/>
              <w:jc w:val="right"/>
              <w:rPr>
                <w:rFonts w:ascii="Times New Roman" w:hAnsi="Times New Roman" w:cs="Times New Roman"/>
                <w:sz w:val="24"/>
                <w:szCs w:val="24"/>
                <w:u w:val="single"/>
              </w:rPr>
            </w:pPr>
            <w:r w:rsidRPr="00802D04">
              <w:rPr>
                <w:rFonts w:ascii="Times New Roman" w:hAnsi="Times New Roman" w:cs="Times New Roman"/>
                <w:sz w:val="24"/>
                <w:szCs w:val="24"/>
                <w:u w:val="single"/>
              </w:rPr>
              <w:t>10 Points</w:t>
            </w:r>
          </w:p>
        </w:tc>
      </w:tr>
      <w:tr w:rsidR="005F4593" w:rsidRPr="00802D04" w14:paraId="4DACBE22" w14:textId="77777777" w:rsidTr="00802D04">
        <w:trPr>
          <w:trHeight w:val="350"/>
        </w:trPr>
        <w:tc>
          <w:tcPr>
            <w:tcW w:w="7898" w:type="dxa"/>
          </w:tcPr>
          <w:p w14:paraId="0A76C895" w14:textId="77777777" w:rsidR="005F4593" w:rsidRPr="00802D04" w:rsidRDefault="005F4593" w:rsidP="009B3C0D">
            <w:pPr>
              <w:pStyle w:val="ListParagraph"/>
              <w:numPr>
                <w:ilvl w:val="0"/>
                <w:numId w:val="7"/>
              </w:numPr>
              <w:rPr>
                <w:rFonts w:ascii="Times New Roman" w:hAnsi="Times New Roman" w:cs="Times New Roman"/>
                <w:sz w:val="24"/>
                <w:szCs w:val="24"/>
              </w:rPr>
            </w:pPr>
            <w:r w:rsidRPr="00802D04">
              <w:rPr>
                <w:rFonts w:ascii="Times New Roman" w:hAnsi="Times New Roman" w:cs="Times New Roman"/>
                <w:sz w:val="24"/>
                <w:szCs w:val="24"/>
              </w:rPr>
              <w:t>For each minor INC within the last 3 years.</w:t>
            </w:r>
          </w:p>
        </w:tc>
        <w:tc>
          <w:tcPr>
            <w:tcW w:w="1372" w:type="dxa"/>
          </w:tcPr>
          <w:p w14:paraId="09F9C2A4" w14:textId="77777777" w:rsidR="005F4593" w:rsidRPr="00802D04" w:rsidRDefault="005F4593" w:rsidP="009B3C0D">
            <w:pPr>
              <w:contextualSpacing/>
              <w:jc w:val="right"/>
              <w:rPr>
                <w:rFonts w:ascii="Times New Roman" w:hAnsi="Times New Roman" w:cs="Times New Roman"/>
                <w:sz w:val="24"/>
                <w:szCs w:val="24"/>
                <w:u w:val="single"/>
              </w:rPr>
            </w:pPr>
            <w:r w:rsidRPr="00802D04">
              <w:rPr>
                <w:rFonts w:ascii="Times New Roman" w:hAnsi="Times New Roman" w:cs="Times New Roman"/>
                <w:sz w:val="24"/>
                <w:szCs w:val="24"/>
                <w:u w:val="single"/>
              </w:rPr>
              <w:t>5 Points</w:t>
            </w:r>
          </w:p>
        </w:tc>
      </w:tr>
      <w:tr w:rsidR="005F4593" w:rsidRPr="00802D04" w14:paraId="1749B91E" w14:textId="77777777" w:rsidTr="00802D04">
        <w:trPr>
          <w:trHeight w:val="350"/>
        </w:trPr>
        <w:tc>
          <w:tcPr>
            <w:tcW w:w="7898" w:type="dxa"/>
          </w:tcPr>
          <w:p w14:paraId="7706ECCC" w14:textId="77777777" w:rsidR="005F4593" w:rsidRPr="00802D04" w:rsidRDefault="005F4593" w:rsidP="009B3C0D">
            <w:pPr>
              <w:pStyle w:val="ListParagraph"/>
              <w:numPr>
                <w:ilvl w:val="0"/>
                <w:numId w:val="7"/>
              </w:numPr>
              <w:rPr>
                <w:rFonts w:ascii="Times New Roman" w:hAnsi="Times New Roman" w:cs="Times New Roman"/>
                <w:sz w:val="24"/>
                <w:szCs w:val="24"/>
              </w:rPr>
            </w:pPr>
            <w:r w:rsidRPr="00802D04">
              <w:rPr>
                <w:rFonts w:ascii="Times New Roman" w:hAnsi="Times New Roman" w:cs="Times New Roman"/>
                <w:sz w:val="24"/>
                <w:szCs w:val="24"/>
              </w:rPr>
              <w:t>For each default on any bond in the last 3 years.</w:t>
            </w:r>
          </w:p>
        </w:tc>
        <w:tc>
          <w:tcPr>
            <w:tcW w:w="1372" w:type="dxa"/>
          </w:tcPr>
          <w:p w14:paraId="5FB75521" w14:textId="77777777" w:rsidR="005F4593" w:rsidRPr="00802D04" w:rsidRDefault="005F4593" w:rsidP="009B3C0D">
            <w:pPr>
              <w:contextualSpacing/>
              <w:jc w:val="right"/>
              <w:rPr>
                <w:rFonts w:ascii="Times New Roman" w:hAnsi="Times New Roman" w:cs="Times New Roman"/>
                <w:sz w:val="24"/>
                <w:szCs w:val="24"/>
                <w:u w:val="single"/>
              </w:rPr>
            </w:pPr>
            <w:r w:rsidRPr="00802D04">
              <w:rPr>
                <w:rFonts w:ascii="Times New Roman" w:hAnsi="Times New Roman" w:cs="Times New Roman"/>
                <w:sz w:val="24"/>
                <w:szCs w:val="24"/>
                <w:u w:val="single"/>
              </w:rPr>
              <w:t>100 Points</w:t>
            </w:r>
          </w:p>
        </w:tc>
      </w:tr>
      <w:tr w:rsidR="005F4593" w:rsidRPr="00802D04" w14:paraId="59429CFF" w14:textId="77777777" w:rsidTr="00802D04">
        <w:trPr>
          <w:trHeight w:val="359"/>
        </w:trPr>
        <w:tc>
          <w:tcPr>
            <w:tcW w:w="7898" w:type="dxa"/>
          </w:tcPr>
          <w:p w14:paraId="024F7D7B" w14:textId="77777777" w:rsidR="005F4593" w:rsidRPr="00802D04" w:rsidRDefault="005F4593" w:rsidP="009B3C0D">
            <w:pPr>
              <w:pStyle w:val="ListParagraph"/>
              <w:numPr>
                <w:ilvl w:val="0"/>
                <w:numId w:val="7"/>
              </w:numPr>
              <w:rPr>
                <w:rFonts w:ascii="Times New Roman" w:hAnsi="Times New Roman" w:cs="Times New Roman"/>
                <w:sz w:val="24"/>
                <w:szCs w:val="24"/>
              </w:rPr>
            </w:pPr>
            <w:r w:rsidRPr="00802D04">
              <w:rPr>
                <w:rFonts w:ascii="Times New Roman" w:hAnsi="Times New Roman" w:cs="Times New Roman"/>
                <w:sz w:val="24"/>
                <w:szCs w:val="24"/>
              </w:rPr>
              <w:t>For each shut-in/shut-down of operations in the last 3 years. </w:t>
            </w:r>
          </w:p>
        </w:tc>
        <w:tc>
          <w:tcPr>
            <w:tcW w:w="1372" w:type="dxa"/>
          </w:tcPr>
          <w:p w14:paraId="3E8D9965" w14:textId="77777777" w:rsidR="005F4593" w:rsidRPr="00802D04" w:rsidRDefault="005F4593" w:rsidP="009B3C0D">
            <w:pPr>
              <w:contextualSpacing/>
              <w:jc w:val="right"/>
              <w:rPr>
                <w:rFonts w:ascii="Times New Roman" w:hAnsi="Times New Roman" w:cs="Times New Roman"/>
                <w:sz w:val="24"/>
                <w:szCs w:val="24"/>
                <w:u w:val="single"/>
              </w:rPr>
            </w:pPr>
            <w:r w:rsidRPr="00802D04">
              <w:rPr>
                <w:rFonts w:ascii="Times New Roman" w:hAnsi="Times New Roman" w:cs="Times New Roman"/>
                <w:sz w:val="24"/>
                <w:szCs w:val="24"/>
                <w:u w:val="single"/>
              </w:rPr>
              <w:t>100 Points</w:t>
            </w:r>
          </w:p>
        </w:tc>
      </w:tr>
      <w:tr w:rsidR="005F4593" w:rsidRPr="00802D04" w14:paraId="20513ECA" w14:textId="77777777" w:rsidTr="00802D04">
        <w:trPr>
          <w:trHeight w:val="611"/>
        </w:trPr>
        <w:tc>
          <w:tcPr>
            <w:tcW w:w="7898" w:type="dxa"/>
          </w:tcPr>
          <w:p w14:paraId="6B8DC34B" w14:textId="77777777" w:rsidR="005F4593" w:rsidRPr="00802D04" w:rsidRDefault="005F4593" w:rsidP="009B3C0D">
            <w:pPr>
              <w:pStyle w:val="ListParagraph"/>
              <w:numPr>
                <w:ilvl w:val="0"/>
                <w:numId w:val="7"/>
              </w:numPr>
              <w:rPr>
                <w:rFonts w:ascii="Times New Roman" w:hAnsi="Times New Roman" w:cs="Times New Roman"/>
                <w:sz w:val="24"/>
                <w:szCs w:val="24"/>
              </w:rPr>
            </w:pPr>
            <w:r w:rsidRPr="00802D04">
              <w:rPr>
                <w:rFonts w:ascii="Times New Roman" w:hAnsi="Times New Roman" w:cs="Times New Roman"/>
                <w:sz w:val="24"/>
                <w:szCs w:val="24"/>
              </w:rPr>
              <w:t>For each civil penalty issued for failure to comply with a written order or INC in the last 3 years. </w:t>
            </w:r>
          </w:p>
        </w:tc>
        <w:tc>
          <w:tcPr>
            <w:tcW w:w="1372" w:type="dxa"/>
          </w:tcPr>
          <w:p w14:paraId="3889FA39" w14:textId="77777777" w:rsidR="005F4593" w:rsidRPr="00802D04" w:rsidRDefault="005F4593" w:rsidP="009B3C0D">
            <w:pPr>
              <w:contextualSpacing/>
              <w:jc w:val="right"/>
              <w:rPr>
                <w:rFonts w:ascii="Times New Roman" w:hAnsi="Times New Roman" w:cs="Times New Roman"/>
                <w:sz w:val="24"/>
                <w:szCs w:val="24"/>
                <w:u w:val="single"/>
              </w:rPr>
            </w:pPr>
            <w:r w:rsidRPr="00802D04">
              <w:rPr>
                <w:rFonts w:ascii="Times New Roman" w:hAnsi="Times New Roman" w:cs="Times New Roman"/>
                <w:sz w:val="24"/>
                <w:szCs w:val="24"/>
                <w:u w:val="single"/>
              </w:rPr>
              <w:t>50 Points</w:t>
            </w:r>
          </w:p>
        </w:tc>
      </w:tr>
      <w:tr w:rsidR="005F4593" w:rsidRPr="00802D04" w14:paraId="5A8F22A3" w14:textId="77777777" w:rsidTr="00802D04">
        <w:trPr>
          <w:trHeight w:val="890"/>
        </w:trPr>
        <w:tc>
          <w:tcPr>
            <w:tcW w:w="7898" w:type="dxa"/>
          </w:tcPr>
          <w:p w14:paraId="67E29C4E" w14:textId="77777777" w:rsidR="005F4593" w:rsidRPr="00802D04" w:rsidRDefault="005F4593" w:rsidP="009B3C0D">
            <w:pPr>
              <w:pStyle w:val="ListParagraph"/>
              <w:numPr>
                <w:ilvl w:val="0"/>
                <w:numId w:val="7"/>
              </w:numPr>
              <w:rPr>
                <w:rFonts w:ascii="Times New Roman" w:hAnsi="Times New Roman" w:cs="Times New Roman"/>
                <w:sz w:val="24"/>
                <w:szCs w:val="24"/>
              </w:rPr>
            </w:pPr>
            <w:r w:rsidRPr="00802D04">
              <w:rPr>
                <w:rFonts w:ascii="Times New Roman" w:hAnsi="Times New Roman" w:cs="Times New Roman"/>
                <w:sz w:val="24"/>
                <w:szCs w:val="24"/>
              </w:rPr>
              <w:t>If any production accountability inspection resulted in a recovery (under-reported volume on the Oil and Gas Operations Report (OGOR)) of more than 500 barrels of oil or 50,000 MCF of gas in the last 3 years.</w:t>
            </w:r>
          </w:p>
        </w:tc>
        <w:tc>
          <w:tcPr>
            <w:tcW w:w="1372" w:type="dxa"/>
          </w:tcPr>
          <w:p w14:paraId="7B933CC4" w14:textId="77777777" w:rsidR="005F4593" w:rsidRPr="00802D04" w:rsidRDefault="005F4593" w:rsidP="009B3C0D">
            <w:pPr>
              <w:contextualSpacing/>
              <w:jc w:val="right"/>
              <w:rPr>
                <w:rFonts w:ascii="Times New Roman" w:hAnsi="Times New Roman" w:cs="Times New Roman"/>
                <w:sz w:val="24"/>
                <w:szCs w:val="24"/>
                <w:u w:val="single"/>
              </w:rPr>
            </w:pPr>
            <w:r w:rsidRPr="00802D04">
              <w:rPr>
                <w:rFonts w:ascii="Times New Roman" w:hAnsi="Times New Roman" w:cs="Times New Roman"/>
                <w:sz w:val="24"/>
                <w:szCs w:val="24"/>
                <w:u w:val="single"/>
              </w:rPr>
              <w:t>50 Points</w:t>
            </w:r>
          </w:p>
        </w:tc>
      </w:tr>
    </w:tbl>
    <w:p w14:paraId="4030B5BC" w14:textId="77777777" w:rsidR="00B74223" w:rsidRPr="00802D04" w:rsidRDefault="005F4593" w:rsidP="00EE2B43">
      <w:pPr>
        <w:spacing w:after="0" w:line="240" w:lineRule="auto"/>
        <w:contextualSpacing/>
        <w:rPr>
          <w:rFonts w:ascii="Times New Roman" w:hAnsi="Times New Roman" w:cs="Times New Roman"/>
          <w:sz w:val="24"/>
          <w:szCs w:val="24"/>
        </w:rPr>
      </w:pPr>
      <w:r w:rsidRPr="00802D04">
        <w:rPr>
          <w:rFonts w:ascii="Times New Roman" w:hAnsi="Times New Roman" w:cs="Times New Roman"/>
          <w:sz w:val="24"/>
          <w:szCs w:val="24"/>
        </w:rPr>
        <w:tab/>
      </w:r>
      <w:r w:rsidRPr="00802D04">
        <w:rPr>
          <w:rFonts w:ascii="Times New Roman" w:hAnsi="Times New Roman" w:cs="Times New Roman"/>
          <w:sz w:val="24"/>
          <w:szCs w:val="24"/>
        </w:rPr>
        <w:tab/>
      </w:r>
      <w:r w:rsidR="00A73901" w:rsidRPr="00802D04">
        <w:rPr>
          <w:rFonts w:ascii="Times New Roman" w:hAnsi="Times New Roman" w:cs="Times New Roman"/>
          <w:sz w:val="24"/>
          <w:szCs w:val="24"/>
        </w:rPr>
        <w:tab/>
      </w:r>
      <w:r w:rsidR="00A73901" w:rsidRPr="00802D04">
        <w:rPr>
          <w:rFonts w:ascii="Times New Roman" w:hAnsi="Times New Roman" w:cs="Times New Roman"/>
          <w:sz w:val="24"/>
          <w:szCs w:val="24"/>
        </w:rPr>
        <w:tab/>
      </w:r>
      <w:r w:rsidR="00A73901" w:rsidRPr="00802D04">
        <w:rPr>
          <w:rFonts w:ascii="Times New Roman" w:hAnsi="Times New Roman" w:cs="Times New Roman"/>
          <w:sz w:val="24"/>
          <w:szCs w:val="24"/>
        </w:rPr>
        <w:tab/>
      </w:r>
      <w:r w:rsidR="00A73901" w:rsidRPr="00802D04">
        <w:rPr>
          <w:rFonts w:ascii="Times New Roman" w:hAnsi="Times New Roman" w:cs="Times New Roman"/>
          <w:sz w:val="24"/>
          <w:szCs w:val="24"/>
        </w:rPr>
        <w:tab/>
      </w:r>
      <w:r w:rsidR="00A73901" w:rsidRPr="00802D04">
        <w:rPr>
          <w:rFonts w:ascii="Times New Roman" w:hAnsi="Times New Roman" w:cs="Times New Roman"/>
          <w:sz w:val="24"/>
          <w:szCs w:val="24"/>
        </w:rPr>
        <w:tab/>
      </w:r>
      <w:r w:rsidR="00A73901" w:rsidRPr="00802D04">
        <w:rPr>
          <w:rFonts w:ascii="Times New Roman" w:hAnsi="Times New Roman" w:cs="Times New Roman"/>
          <w:sz w:val="24"/>
          <w:szCs w:val="24"/>
        </w:rPr>
        <w:tab/>
      </w:r>
      <w:r w:rsidR="00A73901" w:rsidRPr="00802D04">
        <w:rPr>
          <w:rFonts w:ascii="Times New Roman" w:hAnsi="Times New Roman" w:cs="Times New Roman"/>
          <w:sz w:val="24"/>
          <w:szCs w:val="24"/>
        </w:rPr>
        <w:tab/>
        <w:t xml:space="preserve">         </w:t>
      </w:r>
      <w:r w:rsidR="00A73901" w:rsidRPr="00802D04">
        <w:rPr>
          <w:rFonts w:ascii="Times New Roman" w:hAnsi="Times New Roman" w:cs="Times New Roman"/>
          <w:sz w:val="24"/>
          <w:szCs w:val="24"/>
        </w:rPr>
        <w:tab/>
      </w:r>
      <w:r w:rsidR="00A73901" w:rsidRPr="00802D04">
        <w:rPr>
          <w:rFonts w:ascii="Times New Roman" w:hAnsi="Times New Roman" w:cs="Times New Roman"/>
          <w:sz w:val="24"/>
          <w:szCs w:val="24"/>
        </w:rPr>
        <w:tab/>
      </w:r>
      <w:r w:rsidR="00A73901" w:rsidRPr="00802D04">
        <w:rPr>
          <w:rFonts w:ascii="Times New Roman" w:hAnsi="Times New Roman" w:cs="Times New Roman"/>
          <w:sz w:val="24"/>
          <w:szCs w:val="24"/>
        </w:rPr>
        <w:tab/>
        <w:t xml:space="preserve">                   </w:t>
      </w:r>
    </w:p>
    <w:p w14:paraId="27B8C411" w14:textId="77777777" w:rsidR="00B74223" w:rsidRPr="00802D04" w:rsidRDefault="00B74223" w:rsidP="009B3C0D">
      <w:pPr>
        <w:spacing w:after="0" w:line="240" w:lineRule="auto"/>
        <w:rPr>
          <w:rFonts w:ascii="Times New Roman" w:hAnsi="Times New Roman" w:cs="Times New Roman"/>
          <w:sz w:val="24"/>
          <w:szCs w:val="24"/>
        </w:rPr>
      </w:pPr>
      <w:r w:rsidRPr="00802D04">
        <w:rPr>
          <w:rFonts w:ascii="Times New Roman" w:hAnsi="Times New Roman" w:cs="Times New Roman"/>
          <w:b/>
          <w:sz w:val="24"/>
          <w:szCs w:val="24"/>
        </w:rPr>
        <w:t>Reclamation stewardship</w:t>
      </w:r>
    </w:p>
    <w:p w14:paraId="764680B0" w14:textId="77777777" w:rsidR="00B74223" w:rsidRPr="00802D04" w:rsidRDefault="00B74223" w:rsidP="009B3C0D">
      <w:pPr>
        <w:spacing w:after="0" w:line="240" w:lineRule="auto"/>
        <w:contextualSpacing/>
        <w:rPr>
          <w:rFonts w:ascii="Times New Roman" w:hAnsi="Times New Roman" w:cs="Times New Roman"/>
          <w:b/>
          <w:sz w:val="24"/>
          <w:szCs w:val="24"/>
        </w:rPr>
      </w:pPr>
    </w:p>
    <w:p w14:paraId="09C3C8D7" w14:textId="77777777" w:rsidR="00B74223" w:rsidRPr="00802D04" w:rsidRDefault="00B74223" w:rsidP="009B3C0D">
      <w:pPr>
        <w:spacing w:after="0" w:line="240" w:lineRule="auto"/>
        <w:contextualSpacing/>
        <w:rPr>
          <w:rFonts w:ascii="Times New Roman" w:hAnsi="Times New Roman" w:cs="Times New Roman"/>
          <w:sz w:val="24"/>
          <w:szCs w:val="24"/>
        </w:rPr>
      </w:pPr>
      <w:r w:rsidRPr="00802D04">
        <w:rPr>
          <w:rFonts w:ascii="Times New Roman" w:hAnsi="Times New Roman" w:cs="Times New Roman"/>
          <w:sz w:val="24"/>
          <w:szCs w:val="24"/>
        </w:rPr>
        <w:t>Onshore Order Number 1 requires the operator to submit a plan for surface reclamation or stabilization of all disturbed areas.  This plan must address implementation of interim (during production) reclamation as well as final abandonment of all disturbed areas as soon as practicable.  If the operator has accumulated any reclamation-related written orders or INCs, use the following point system below:</w:t>
      </w:r>
    </w:p>
    <w:p w14:paraId="36FC9EF9" w14:textId="77777777" w:rsidR="00EE2B43" w:rsidRPr="00802D04" w:rsidRDefault="00B74223" w:rsidP="00EE2B43">
      <w:pPr>
        <w:spacing w:after="0" w:line="240" w:lineRule="auto"/>
        <w:contextualSpacing/>
        <w:rPr>
          <w:rFonts w:ascii="Times New Roman" w:hAnsi="Times New Roman" w:cs="Times New Roman"/>
          <w:sz w:val="24"/>
          <w:szCs w:val="24"/>
        </w:rPr>
      </w:pPr>
      <w:r w:rsidRPr="00802D04">
        <w:rPr>
          <w:rFonts w:ascii="Times New Roman" w:hAnsi="Times New Roman" w:cs="Times New Roman"/>
          <w:sz w:val="24"/>
          <w:szCs w:val="24"/>
        </w:rPr>
        <w:t xml:space="preserve"> </w:t>
      </w:r>
    </w:p>
    <w:tbl>
      <w:tblPr>
        <w:tblStyle w:val="TableGrid"/>
        <w:tblW w:w="927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350"/>
      </w:tblGrid>
      <w:tr w:rsidR="00EE2B43" w:rsidRPr="00802D04" w14:paraId="51872454" w14:textId="77777777" w:rsidTr="00802D04">
        <w:trPr>
          <w:trHeight w:val="575"/>
        </w:trPr>
        <w:tc>
          <w:tcPr>
            <w:tcW w:w="7920" w:type="dxa"/>
          </w:tcPr>
          <w:p w14:paraId="146B7925" w14:textId="77777777" w:rsidR="00EE2B43" w:rsidRPr="00802D04" w:rsidRDefault="00EE2B43" w:rsidP="00EE2B43">
            <w:pPr>
              <w:pStyle w:val="ListParagraph"/>
              <w:numPr>
                <w:ilvl w:val="0"/>
                <w:numId w:val="9"/>
              </w:numPr>
              <w:rPr>
                <w:rFonts w:ascii="Times New Roman" w:hAnsi="Times New Roman" w:cs="Times New Roman"/>
                <w:sz w:val="24"/>
                <w:szCs w:val="24"/>
              </w:rPr>
            </w:pPr>
            <w:r w:rsidRPr="00802D04">
              <w:rPr>
                <w:rFonts w:ascii="Times New Roman" w:hAnsi="Times New Roman" w:cs="Times New Roman"/>
                <w:sz w:val="24"/>
                <w:szCs w:val="24"/>
              </w:rPr>
              <w:t xml:space="preserve">For each reclamation written order issued during the last 5 years which is not an INC.  </w:t>
            </w:r>
          </w:p>
        </w:tc>
        <w:tc>
          <w:tcPr>
            <w:tcW w:w="1350" w:type="dxa"/>
          </w:tcPr>
          <w:p w14:paraId="7A134D3D" w14:textId="77777777" w:rsidR="00EE2B43" w:rsidRPr="00802D04" w:rsidRDefault="00EE2B43" w:rsidP="00802D04">
            <w:pPr>
              <w:pStyle w:val="ListParagraph"/>
              <w:ind w:left="0"/>
              <w:jc w:val="right"/>
              <w:rPr>
                <w:rFonts w:ascii="Times New Roman" w:hAnsi="Times New Roman" w:cs="Times New Roman"/>
                <w:sz w:val="24"/>
                <w:szCs w:val="24"/>
              </w:rPr>
            </w:pPr>
            <w:r w:rsidRPr="00802D04">
              <w:rPr>
                <w:rFonts w:ascii="Times New Roman" w:hAnsi="Times New Roman" w:cs="Times New Roman"/>
                <w:sz w:val="24"/>
                <w:szCs w:val="24"/>
                <w:u w:val="single"/>
              </w:rPr>
              <w:t>5 points</w:t>
            </w:r>
          </w:p>
        </w:tc>
      </w:tr>
      <w:tr w:rsidR="00802D04" w:rsidRPr="00802D04" w14:paraId="3F219946" w14:textId="77777777" w:rsidTr="00802D04">
        <w:trPr>
          <w:trHeight w:val="341"/>
        </w:trPr>
        <w:tc>
          <w:tcPr>
            <w:tcW w:w="7920" w:type="dxa"/>
          </w:tcPr>
          <w:p w14:paraId="48899E6E" w14:textId="77777777" w:rsidR="00802D04" w:rsidRPr="00802D04" w:rsidRDefault="00802D04" w:rsidP="00EE2B43">
            <w:pPr>
              <w:pStyle w:val="ListParagraph"/>
              <w:numPr>
                <w:ilvl w:val="0"/>
                <w:numId w:val="9"/>
              </w:numPr>
              <w:rPr>
                <w:rFonts w:ascii="Times New Roman" w:hAnsi="Times New Roman" w:cs="Times New Roman"/>
                <w:sz w:val="24"/>
                <w:szCs w:val="24"/>
              </w:rPr>
            </w:pPr>
            <w:r w:rsidRPr="00802D04">
              <w:rPr>
                <w:rFonts w:ascii="Times New Roman" w:hAnsi="Times New Roman" w:cs="Times New Roman"/>
                <w:sz w:val="24"/>
                <w:szCs w:val="24"/>
              </w:rPr>
              <w:t xml:space="preserve">For each reclamation INC issued during the last 5 years.  </w:t>
            </w:r>
          </w:p>
        </w:tc>
        <w:tc>
          <w:tcPr>
            <w:tcW w:w="1350" w:type="dxa"/>
          </w:tcPr>
          <w:p w14:paraId="628FBBB9" w14:textId="77777777" w:rsidR="00802D04" w:rsidRPr="00802D04" w:rsidRDefault="00802D04" w:rsidP="00802D04">
            <w:pPr>
              <w:pStyle w:val="ListParagraph"/>
              <w:ind w:left="0"/>
              <w:jc w:val="right"/>
              <w:rPr>
                <w:rFonts w:ascii="Times New Roman" w:hAnsi="Times New Roman" w:cs="Times New Roman"/>
                <w:sz w:val="24"/>
                <w:szCs w:val="24"/>
                <w:u w:val="single"/>
              </w:rPr>
            </w:pPr>
            <w:r w:rsidRPr="00802D04">
              <w:rPr>
                <w:rFonts w:ascii="Times New Roman" w:hAnsi="Times New Roman" w:cs="Times New Roman"/>
                <w:sz w:val="24"/>
                <w:szCs w:val="24"/>
                <w:u w:val="single"/>
              </w:rPr>
              <w:t>10 points</w:t>
            </w:r>
          </w:p>
        </w:tc>
      </w:tr>
    </w:tbl>
    <w:p w14:paraId="0701EFF2" w14:textId="77777777" w:rsidR="00EE2B43" w:rsidRPr="00802D04" w:rsidRDefault="00EE2B43" w:rsidP="00EE2B43">
      <w:pPr>
        <w:spacing w:after="0" w:line="240" w:lineRule="auto"/>
        <w:rPr>
          <w:rFonts w:ascii="Times New Roman" w:hAnsi="Times New Roman" w:cs="Times New Roman"/>
          <w:sz w:val="24"/>
          <w:szCs w:val="24"/>
        </w:rPr>
      </w:pPr>
    </w:p>
    <w:p w14:paraId="705EBE66" w14:textId="77777777" w:rsidR="00B74223" w:rsidRPr="00802D04" w:rsidRDefault="00B74223" w:rsidP="00802D04">
      <w:pPr>
        <w:spacing w:after="0" w:line="240" w:lineRule="auto"/>
        <w:rPr>
          <w:rFonts w:ascii="Times New Roman" w:hAnsi="Times New Roman" w:cs="Times New Roman"/>
          <w:sz w:val="24"/>
          <w:szCs w:val="24"/>
        </w:rPr>
      </w:pPr>
      <w:r w:rsidRPr="00802D04">
        <w:rPr>
          <w:rFonts w:ascii="Times New Roman" w:hAnsi="Times New Roman" w:cs="Times New Roman"/>
          <w:sz w:val="24"/>
          <w:szCs w:val="24"/>
        </w:rPr>
        <w:tab/>
      </w:r>
    </w:p>
    <w:p w14:paraId="7DBB44B0" w14:textId="77777777" w:rsidR="00B74223" w:rsidRPr="00802D04" w:rsidRDefault="00B74223" w:rsidP="009B3C0D">
      <w:pPr>
        <w:spacing w:after="0" w:line="240" w:lineRule="auto"/>
        <w:ind w:left="360"/>
        <w:rPr>
          <w:rFonts w:ascii="Times New Roman" w:hAnsi="Times New Roman" w:cs="Times New Roman"/>
          <w:b/>
          <w:sz w:val="24"/>
          <w:szCs w:val="24"/>
        </w:rPr>
      </w:pPr>
    </w:p>
    <w:p w14:paraId="14471B09" w14:textId="77777777" w:rsidR="00B74223" w:rsidRPr="00802D04" w:rsidRDefault="00B74223" w:rsidP="009B3C0D">
      <w:pPr>
        <w:spacing w:after="0" w:line="240" w:lineRule="auto"/>
        <w:rPr>
          <w:rFonts w:ascii="Times New Roman" w:hAnsi="Times New Roman" w:cs="Times New Roman"/>
          <w:b/>
          <w:sz w:val="24"/>
          <w:szCs w:val="24"/>
          <w:u w:val="single"/>
        </w:rPr>
      </w:pPr>
    </w:p>
    <w:p w14:paraId="06E4EEEE" w14:textId="77777777" w:rsidR="00B74223" w:rsidRPr="00802D04" w:rsidRDefault="00B74223" w:rsidP="009B3C0D">
      <w:pPr>
        <w:spacing w:after="0" w:line="240" w:lineRule="auto"/>
        <w:rPr>
          <w:rFonts w:ascii="Times New Roman" w:hAnsi="Times New Roman" w:cs="Times New Roman"/>
          <w:b/>
          <w:sz w:val="24"/>
          <w:szCs w:val="24"/>
          <w:u w:val="single"/>
        </w:rPr>
      </w:pPr>
      <w:r w:rsidRPr="00802D04">
        <w:rPr>
          <w:rFonts w:ascii="Times New Roman" w:hAnsi="Times New Roman" w:cs="Times New Roman"/>
          <w:b/>
          <w:sz w:val="24"/>
          <w:szCs w:val="24"/>
          <w:u w:val="single"/>
        </w:rPr>
        <w:t>Instructions</w:t>
      </w:r>
    </w:p>
    <w:p w14:paraId="17AEDEF4" w14:textId="77777777" w:rsidR="00B74223" w:rsidRPr="00802D04" w:rsidRDefault="00B74223" w:rsidP="009B3C0D">
      <w:pPr>
        <w:spacing w:after="0" w:line="240" w:lineRule="auto"/>
        <w:rPr>
          <w:rFonts w:ascii="Times New Roman" w:hAnsi="Times New Roman" w:cs="Times New Roman"/>
          <w:sz w:val="24"/>
          <w:szCs w:val="24"/>
        </w:rPr>
      </w:pPr>
    </w:p>
    <w:p w14:paraId="3281CEC9" w14:textId="7B0893F4" w:rsidR="000E099F" w:rsidRPr="00F37853" w:rsidRDefault="00DB102D" w:rsidP="00F37853">
      <w:pPr>
        <w:pStyle w:val="ListParagraph"/>
        <w:numPr>
          <w:ilvl w:val="0"/>
          <w:numId w:val="11"/>
        </w:numPr>
        <w:spacing w:line="240" w:lineRule="auto"/>
        <w:rPr>
          <w:rFonts w:ascii="Times New Roman" w:hAnsi="Times New Roman" w:cs="Times New Roman"/>
          <w:sz w:val="24"/>
          <w:szCs w:val="24"/>
        </w:rPr>
      </w:pPr>
      <w:r w:rsidRPr="00F37853">
        <w:rPr>
          <w:rFonts w:ascii="Times New Roman" w:hAnsi="Times New Roman" w:cs="Times New Roman"/>
          <w:sz w:val="24"/>
          <w:szCs w:val="24"/>
        </w:rPr>
        <w:t>The</w:t>
      </w:r>
      <w:r w:rsidR="00BB7A9A" w:rsidRPr="00F37853">
        <w:rPr>
          <w:rFonts w:ascii="Times New Roman" w:hAnsi="Times New Roman" w:cs="Times New Roman"/>
          <w:sz w:val="24"/>
          <w:szCs w:val="24"/>
        </w:rPr>
        <w:t xml:space="preserve"> AO has the discretion on the final </w:t>
      </w:r>
      <w:r w:rsidRPr="00F37853">
        <w:rPr>
          <w:rFonts w:ascii="Times New Roman" w:hAnsi="Times New Roman" w:cs="Times New Roman"/>
          <w:sz w:val="24"/>
          <w:szCs w:val="24"/>
        </w:rPr>
        <w:t xml:space="preserve">amount for a </w:t>
      </w:r>
      <w:r w:rsidR="00BB7A9A" w:rsidRPr="00F37853">
        <w:rPr>
          <w:rFonts w:ascii="Times New Roman" w:hAnsi="Times New Roman" w:cs="Times New Roman"/>
          <w:sz w:val="24"/>
          <w:szCs w:val="24"/>
        </w:rPr>
        <w:t xml:space="preserve">bond </w:t>
      </w:r>
      <w:r w:rsidR="00DB0678" w:rsidRPr="00F37853">
        <w:rPr>
          <w:rFonts w:ascii="Times New Roman" w:hAnsi="Times New Roman" w:cs="Times New Roman"/>
          <w:sz w:val="24"/>
          <w:szCs w:val="24"/>
        </w:rPr>
        <w:t xml:space="preserve">increase or decrease </w:t>
      </w:r>
      <w:r w:rsidR="001B5D6F" w:rsidRPr="00F37853">
        <w:rPr>
          <w:rFonts w:ascii="Times New Roman" w:hAnsi="Times New Roman" w:cs="Times New Roman"/>
          <w:sz w:val="24"/>
          <w:szCs w:val="24"/>
        </w:rPr>
        <w:t>supported by proper documentation for those changes.</w:t>
      </w:r>
      <w:r w:rsidR="00E91236" w:rsidRPr="00F37853">
        <w:rPr>
          <w:rFonts w:ascii="Times New Roman" w:hAnsi="Times New Roman" w:cs="Times New Roman"/>
          <w:sz w:val="24"/>
          <w:szCs w:val="24"/>
        </w:rPr>
        <w:t xml:space="preserve">  The AO </w:t>
      </w:r>
      <w:r w:rsidRPr="00F37853">
        <w:rPr>
          <w:rFonts w:ascii="Times New Roman" w:hAnsi="Times New Roman" w:cs="Times New Roman"/>
          <w:sz w:val="24"/>
          <w:szCs w:val="24"/>
        </w:rPr>
        <w:t>may</w:t>
      </w:r>
      <w:r w:rsidR="00E91236" w:rsidRPr="00F37853">
        <w:rPr>
          <w:rFonts w:ascii="Times New Roman" w:hAnsi="Times New Roman" w:cs="Times New Roman"/>
          <w:sz w:val="24"/>
          <w:szCs w:val="24"/>
        </w:rPr>
        <w:t xml:space="preserve"> also </w:t>
      </w:r>
      <w:r w:rsidR="004E770A" w:rsidRPr="00F37853">
        <w:rPr>
          <w:rFonts w:ascii="Times New Roman" w:hAnsi="Times New Roman" w:cs="Times New Roman"/>
          <w:sz w:val="24"/>
          <w:szCs w:val="24"/>
        </w:rPr>
        <w:t>consider the staff time</w:t>
      </w:r>
      <w:r w:rsidRPr="00F37853">
        <w:rPr>
          <w:rFonts w:ascii="Times New Roman" w:hAnsi="Times New Roman" w:cs="Times New Roman"/>
          <w:sz w:val="24"/>
          <w:szCs w:val="24"/>
        </w:rPr>
        <w:t xml:space="preserve"> and </w:t>
      </w:r>
      <w:r w:rsidR="004E770A" w:rsidRPr="00F37853">
        <w:rPr>
          <w:rFonts w:ascii="Times New Roman" w:hAnsi="Times New Roman" w:cs="Times New Roman"/>
          <w:sz w:val="24"/>
          <w:szCs w:val="24"/>
        </w:rPr>
        <w:t xml:space="preserve">workload involved in pursuing an increased bond amount </w:t>
      </w:r>
      <w:r w:rsidR="005828EC" w:rsidRPr="00F37853">
        <w:rPr>
          <w:rFonts w:ascii="Times New Roman" w:hAnsi="Times New Roman" w:cs="Times New Roman"/>
          <w:sz w:val="24"/>
          <w:szCs w:val="24"/>
        </w:rPr>
        <w:t xml:space="preserve">and other priorities demanding staff time and workload </w:t>
      </w:r>
      <w:r w:rsidRPr="00F37853">
        <w:rPr>
          <w:rFonts w:ascii="Times New Roman" w:hAnsi="Times New Roman" w:cs="Times New Roman"/>
          <w:sz w:val="24"/>
          <w:szCs w:val="24"/>
        </w:rPr>
        <w:t>when</w:t>
      </w:r>
      <w:r w:rsidR="004E770A" w:rsidRPr="00F37853">
        <w:rPr>
          <w:rFonts w:ascii="Times New Roman" w:hAnsi="Times New Roman" w:cs="Times New Roman"/>
          <w:sz w:val="24"/>
          <w:szCs w:val="24"/>
        </w:rPr>
        <w:t xml:space="preserve"> making the final determination on the amount of bond increase</w:t>
      </w:r>
      <w:r w:rsidRPr="00F37853">
        <w:rPr>
          <w:rFonts w:ascii="Times New Roman" w:hAnsi="Times New Roman" w:cs="Times New Roman"/>
          <w:sz w:val="24"/>
          <w:szCs w:val="24"/>
        </w:rPr>
        <w:t xml:space="preserve">, and </w:t>
      </w:r>
      <w:r w:rsidR="005828EC" w:rsidRPr="00F37853">
        <w:rPr>
          <w:rFonts w:ascii="Times New Roman" w:hAnsi="Times New Roman" w:cs="Times New Roman"/>
          <w:sz w:val="24"/>
          <w:szCs w:val="24"/>
        </w:rPr>
        <w:t xml:space="preserve">based upon these considerations, the AO </w:t>
      </w:r>
      <w:r w:rsidRPr="00F37853">
        <w:rPr>
          <w:rFonts w:ascii="Times New Roman" w:hAnsi="Times New Roman" w:cs="Times New Roman"/>
          <w:sz w:val="24"/>
          <w:szCs w:val="24"/>
        </w:rPr>
        <w:t>may choose to maintain the current bond amount</w:t>
      </w:r>
      <w:r w:rsidR="004E770A" w:rsidRPr="00F37853">
        <w:rPr>
          <w:rFonts w:ascii="Times New Roman" w:hAnsi="Times New Roman" w:cs="Times New Roman"/>
          <w:sz w:val="24"/>
          <w:szCs w:val="24"/>
        </w:rPr>
        <w:t xml:space="preserve">. For example, </w:t>
      </w:r>
      <w:r w:rsidRPr="00F37853">
        <w:rPr>
          <w:rFonts w:ascii="Times New Roman" w:hAnsi="Times New Roman" w:cs="Times New Roman"/>
          <w:sz w:val="24"/>
          <w:szCs w:val="24"/>
        </w:rPr>
        <w:t xml:space="preserve">the AO may determine that </w:t>
      </w:r>
      <w:r w:rsidR="00FD1EC1" w:rsidRPr="00F37853">
        <w:rPr>
          <w:rFonts w:ascii="Times New Roman" w:hAnsi="Times New Roman" w:cs="Times New Roman"/>
          <w:sz w:val="24"/>
          <w:szCs w:val="24"/>
        </w:rPr>
        <w:t xml:space="preserve">pursuing </w:t>
      </w:r>
      <w:r w:rsidR="004E770A" w:rsidRPr="00F37853">
        <w:rPr>
          <w:rFonts w:ascii="Times New Roman" w:hAnsi="Times New Roman" w:cs="Times New Roman"/>
          <w:sz w:val="24"/>
          <w:szCs w:val="24"/>
        </w:rPr>
        <w:t xml:space="preserve">a bond increase below </w:t>
      </w:r>
      <w:r w:rsidRPr="00F37853">
        <w:rPr>
          <w:rFonts w:ascii="Times New Roman" w:hAnsi="Times New Roman" w:cs="Times New Roman"/>
          <w:sz w:val="24"/>
          <w:szCs w:val="24"/>
        </w:rPr>
        <w:t>a certain dollar threshold</w:t>
      </w:r>
      <w:r w:rsidR="004E770A" w:rsidRPr="00F37853">
        <w:rPr>
          <w:rFonts w:ascii="Times New Roman" w:hAnsi="Times New Roman" w:cs="Times New Roman"/>
          <w:sz w:val="24"/>
          <w:szCs w:val="24"/>
        </w:rPr>
        <w:t xml:space="preserve"> </w:t>
      </w:r>
      <w:r w:rsidR="00FD1EC1" w:rsidRPr="00F37853">
        <w:rPr>
          <w:rFonts w:ascii="Times New Roman" w:hAnsi="Times New Roman" w:cs="Times New Roman"/>
          <w:sz w:val="24"/>
          <w:szCs w:val="24"/>
        </w:rPr>
        <w:t xml:space="preserve">would </w:t>
      </w:r>
      <w:r w:rsidR="00E001ED" w:rsidRPr="00F37853">
        <w:rPr>
          <w:rFonts w:ascii="Times New Roman" w:hAnsi="Times New Roman" w:cs="Times New Roman"/>
          <w:sz w:val="24"/>
          <w:szCs w:val="24"/>
        </w:rPr>
        <w:t>cost</w:t>
      </w:r>
      <w:r w:rsidR="004E770A" w:rsidRPr="00F37853">
        <w:rPr>
          <w:rFonts w:ascii="Times New Roman" w:hAnsi="Times New Roman" w:cs="Times New Roman"/>
          <w:sz w:val="24"/>
          <w:szCs w:val="24"/>
        </w:rPr>
        <w:t xml:space="preserve"> </w:t>
      </w:r>
      <w:r w:rsidR="00FD1EC1" w:rsidRPr="00F37853">
        <w:rPr>
          <w:rFonts w:ascii="Times New Roman" w:hAnsi="Times New Roman" w:cs="Times New Roman"/>
          <w:sz w:val="24"/>
          <w:szCs w:val="24"/>
        </w:rPr>
        <w:t xml:space="preserve">more than the bond increase amount would return, </w:t>
      </w:r>
      <w:r w:rsidR="005828EC" w:rsidRPr="00F37853">
        <w:rPr>
          <w:rFonts w:ascii="Times New Roman" w:hAnsi="Times New Roman" w:cs="Times New Roman"/>
          <w:sz w:val="24"/>
          <w:szCs w:val="24"/>
        </w:rPr>
        <w:t>or</w:t>
      </w:r>
      <w:r w:rsidR="00FD1EC1" w:rsidRPr="00F37853">
        <w:rPr>
          <w:rFonts w:ascii="Times New Roman" w:hAnsi="Times New Roman" w:cs="Times New Roman"/>
          <w:sz w:val="24"/>
          <w:szCs w:val="24"/>
        </w:rPr>
        <w:t xml:space="preserve"> that pursuing the bond increase would not be justified when considering other priorities demanding staff time and workload. </w:t>
      </w:r>
    </w:p>
    <w:p w14:paraId="41013388" w14:textId="77777777" w:rsidR="00FD64E4" w:rsidRPr="001B5D6F" w:rsidRDefault="00FD64E4" w:rsidP="001B5D6F">
      <w:pPr>
        <w:pStyle w:val="ListParagraph"/>
        <w:spacing w:line="240" w:lineRule="auto"/>
        <w:rPr>
          <w:rFonts w:ascii="Times New Roman" w:hAnsi="Times New Roman" w:cs="Times New Roman"/>
          <w:sz w:val="24"/>
          <w:szCs w:val="24"/>
        </w:rPr>
      </w:pPr>
    </w:p>
    <w:p w14:paraId="35CCED18" w14:textId="30C67CB3" w:rsidR="00B74223" w:rsidRPr="00802D04" w:rsidRDefault="00B74223" w:rsidP="009B3C0D">
      <w:pPr>
        <w:pStyle w:val="ListParagraph"/>
        <w:numPr>
          <w:ilvl w:val="0"/>
          <w:numId w:val="5"/>
        </w:numPr>
        <w:spacing w:after="0" w:line="240" w:lineRule="auto"/>
        <w:rPr>
          <w:rFonts w:ascii="Times New Roman" w:hAnsi="Times New Roman" w:cs="Times New Roman"/>
          <w:sz w:val="24"/>
          <w:szCs w:val="24"/>
        </w:rPr>
      </w:pPr>
      <w:r w:rsidRPr="00802D04">
        <w:rPr>
          <w:rFonts w:ascii="Times New Roman" w:hAnsi="Times New Roman" w:cs="Times New Roman"/>
          <w:sz w:val="24"/>
          <w:szCs w:val="24"/>
        </w:rPr>
        <w:t>The increased bond amount cannot exceed the maximum bond total under 43 C.F.R. 3104.5(b), which states that this amount must not exceed the total of the estimated costs to plug and reclaim, amount of uncollected royalties due to the O</w:t>
      </w:r>
      <w:r w:rsidR="00E021F4">
        <w:rPr>
          <w:rFonts w:ascii="Times New Roman" w:hAnsi="Times New Roman" w:cs="Times New Roman"/>
          <w:sz w:val="24"/>
          <w:szCs w:val="24"/>
        </w:rPr>
        <w:t xml:space="preserve">ffice of </w:t>
      </w:r>
      <w:r w:rsidRPr="00802D04">
        <w:rPr>
          <w:rFonts w:ascii="Times New Roman" w:hAnsi="Times New Roman" w:cs="Times New Roman"/>
          <w:sz w:val="24"/>
          <w:szCs w:val="24"/>
        </w:rPr>
        <w:t>N</w:t>
      </w:r>
      <w:r w:rsidR="00E021F4">
        <w:rPr>
          <w:rFonts w:ascii="Times New Roman" w:hAnsi="Times New Roman" w:cs="Times New Roman"/>
          <w:sz w:val="24"/>
          <w:szCs w:val="24"/>
        </w:rPr>
        <w:t xml:space="preserve">atural </w:t>
      </w:r>
      <w:r w:rsidRPr="00802D04">
        <w:rPr>
          <w:rFonts w:ascii="Times New Roman" w:hAnsi="Times New Roman" w:cs="Times New Roman"/>
          <w:sz w:val="24"/>
          <w:szCs w:val="24"/>
        </w:rPr>
        <w:t>R</w:t>
      </w:r>
      <w:r w:rsidR="00E021F4">
        <w:rPr>
          <w:rFonts w:ascii="Times New Roman" w:hAnsi="Times New Roman" w:cs="Times New Roman"/>
          <w:sz w:val="24"/>
          <w:szCs w:val="24"/>
        </w:rPr>
        <w:t xml:space="preserve">esources </w:t>
      </w:r>
      <w:r w:rsidRPr="00802D04">
        <w:rPr>
          <w:rFonts w:ascii="Times New Roman" w:hAnsi="Times New Roman" w:cs="Times New Roman"/>
          <w:sz w:val="24"/>
          <w:szCs w:val="24"/>
        </w:rPr>
        <w:t>R</w:t>
      </w:r>
      <w:r w:rsidR="00E021F4">
        <w:rPr>
          <w:rFonts w:ascii="Times New Roman" w:hAnsi="Times New Roman" w:cs="Times New Roman"/>
          <w:sz w:val="24"/>
          <w:szCs w:val="24"/>
        </w:rPr>
        <w:t>evenue</w:t>
      </w:r>
      <w:r w:rsidRPr="00802D04">
        <w:rPr>
          <w:rFonts w:ascii="Times New Roman" w:hAnsi="Times New Roman" w:cs="Times New Roman"/>
          <w:sz w:val="24"/>
          <w:szCs w:val="24"/>
        </w:rPr>
        <w:t>, and amount of monies owed to the BLM due to previous violations that remain outstanding.</w:t>
      </w:r>
    </w:p>
    <w:p w14:paraId="11B090E1" w14:textId="77777777" w:rsidR="00B74223" w:rsidRPr="00802D04" w:rsidRDefault="00B74223" w:rsidP="009B3C0D">
      <w:pPr>
        <w:pStyle w:val="ListParagraph"/>
        <w:spacing w:line="240" w:lineRule="auto"/>
        <w:rPr>
          <w:rFonts w:ascii="Times New Roman" w:hAnsi="Times New Roman" w:cs="Times New Roman"/>
          <w:sz w:val="24"/>
          <w:szCs w:val="24"/>
        </w:rPr>
      </w:pPr>
    </w:p>
    <w:p w14:paraId="3DB2D570" w14:textId="5B0D89E8" w:rsidR="00B74223" w:rsidRPr="00802D04" w:rsidRDefault="00B74223" w:rsidP="009B3C0D">
      <w:pPr>
        <w:pStyle w:val="ListParagraph"/>
        <w:numPr>
          <w:ilvl w:val="0"/>
          <w:numId w:val="5"/>
        </w:numPr>
        <w:spacing w:after="0" w:line="240" w:lineRule="auto"/>
        <w:rPr>
          <w:rFonts w:ascii="Times New Roman" w:hAnsi="Times New Roman" w:cs="Times New Roman"/>
          <w:sz w:val="24"/>
          <w:szCs w:val="24"/>
        </w:rPr>
      </w:pPr>
      <w:r w:rsidRPr="00802D04">
        <w:rPr>
          <w:rFonts w:ascii="Times New Roman" w:hAnsi="Times New Roman" w:cs="Times New Roman"/>
          <w:sz w:val="24"/>
          <w:szCs w:val="24"/>
        </w:rPr>
        <w:t xml:space="preserve">For statewide bonds, the </w:t>
      </w:r>
      <w:r w:rsidR="007C2F75">
        <w:rPr>
          <w:rFonts w:ascii="Times New Roman" w:hAnsi="Times New Roman" w:cs="Times New Roman"/>
          <w:sz w:val="24"/>
          <w:szCs w:val="24"/>
        </w:rPr>
        <w:t>State Office (</w:t>
      </w:r>
      <w:r w:rsidRPr="00802D04">
        <w:rPr>
          <w:rFonts w:ascii="Times New Roman" w:hAnsi="Times New Roman" w:cs="Times New Roman"/>
          <w:sz w:val="24"/>
          <w:szCs w:val="24"/>
        </w:rPr>
        <w:t>SO</w:t>
      </w:r>
      <w:r w:rsidR="007C2F75">
        <w:rPr>
          <w:rFonts w:ascii="Times New Roman" w:hAnsi="Times New Roman" w:cs="Times New Roman"/>
          <w:sz w:val="24"/>
          <w:szCs w:val="24"/>
        </w:rPr>
        <w:t>)</w:t>
      </w:r>
      <w:r w:rsidRPr="00802D04">
        <w:rPr>
          <w:rFonts w:ascii="Times New Roman" w:hAnsi="Times New Roman" w:cs="Times New Roman"/>
          <w:sz w:val="24"/>
          <w:szCs w:val="24"/>
        </w:rPr>
        <w:t xml:space="preserve"> will </w:t>
      </w:r>
      <w:r w:rsidR="00CC660B">
        <w:rPr>
          <w:rFonts w:ascii="Times New Roman" w:hAnsi="Times New Roman" w:cs="Times New Roman"/>
          <w:sz w:val="24"/>
          <w:szCs w:val="24"/>
        </w:rPr>
        <w:t xml:space="preserve">adjust </w:t>
      </w:r>
      <w:r w:rsidR="00F25B0A">
        <w:rPr>
          <w:rFonts w:ascii="Times New Roman" w:hAnsi="Times New Roman" w:cs="Times New Roman"/>
          <w:sz w:val="24"/>
          <w:szCs w:val="24"/>
        </w:rPr>
        <w:t>up to the combined amount from</w:t>
      </w:r>
      <w:r w:rsidR="00772A52" w:rsidRPr="00802D04">
        <w:rPr>
          <w:rFonts w:ascii="Times New Roman" w:hAnsi="Times New Roman" w:cs="Times New Roman"/>
          <w:sz w:val="24"/>
          <w:szCs w:val="24"/>
        </w:rPr>
        <w:t xml:space="preserve"> </w:t>
      </w:r>
      <w:r w:rsidRPr="00802D04">
        <w:rPr>
          <w:rFonts w:ascii="Times New Roman" w:hAnsi="Times New Roman" w:cs="Times New Roman"/>
          <w:sz w:val="24"/>
          <w:szCs w:val="24"/>
        </w:rPr>
        <w:t xml:space="preserve">the top two FO amounts for its new bond adequacy target.  For nationwide bonds, the SO that is responsible for this determination will </w:t>
      </w:r>
      <w:r w:rsidR="00962304">
        <w:rPr>
          <w:rFonts w:ascii="Times New Roman" w:hAnsi="Times New Roman" w:cs="Times New Roman"/>
          <w:sz w:val="24"/>
          <w:szCs w:val="24"/>
        </w:rPr>
        <w:t>adjust</w:t>
      </w:r>
      <w:r w:rsidR="00F25B0A">
        <w:rPr>
          <w:rFonts w:ascii="Times New Roman" w:hAnsi="Times New Roman" w:cs="Times New Roman"/>
          <w:sz w:val="24"/>
          <w:szCs w:val="24"/>
        </w:rPr>
        <w:t xml:space="preserve"> </w:t>
      </w:r>
      <w:r w:rsidR="001942E2">
        <w:rPr>
          <w:rFonts w:ascii="Times New Roman" w:eastAsia="Calibri" w:hAnsi="Times New Roman" w:cs="Times New Roman"/>
          <w:sz w:val="24"/>
          <w:szCs w:val="24"/>
        </w:rPr>
        <w:t xml:space="preserve">up to the combined </w:t>
      </w:r>
      <w:r w:rsidR="00F25B0A">
        <w:rPr>
          <w:rFonts w:ascii="Times New Roman" w:hAnsi="Times New Roman" w:cs="Times New Roman"/>
          <w:sz w:val="24"/>
          <w:szCs w:val="24"/>
        </w:rPr>
        <w:t>amount from</w:t>
      </w:r>
      <w:r w:rsidRPr="00802D04">
        <w:rPr>
          <w:rFonts w:ascii="Times New Roman" w:hAnsi="Times New Roman" w:cs="Times New Roman"/>
          <w:sz w:val="24"/>
          <w:szCs w:val="24"/>
        </w:rPr>
        <w:t xml:space="preserve"> at least the top two SO amounts for its new bond adequacy</w:t>
      </w:r>
      <w:r w:rsidR="00CC660B">
        <w:rPr>
          <w:rFonts w:ascii="Times New Roman" w:hAnsi="Times New Roman" w:cs="Times New Roman"/>
          <w:sz w:val="24"/>
          <w:szCs w:val="24"/>
        </w:rPr>
        <w:t xml:space="preserve"> target</w:t>
      </w:r>
      <w:r w:rsidRPr="00802D04">
        <w:rPr>
          <w:rFonts w:ascii="Times New Roman" w:hAnsi="Times New Roman" w:cs="Times New Roman"/>
          <w:sz w:val="24"/>
          <w:szCs w:val="24"/>
        </w:rPr>
        <w:t>.</w:t>
      </w:r>
    </w:p>
    <w:p w14:paraId="10B31164" w14:textId="77777777" w:rsidR="00B74223" w:rsidRPr="00802D04" w:rsidRDefault="00B74223" w:rsidP="009B3C0D">
      <w:pPr>
        <w:spacing w:line="240" w:lineRule="auto"/>
        <w:rPr>
          <w:rFonts w:ascii="Times New Roman" w:hAnsi="Times New Roman" w:cs="Times New Roman"/>
          <w:sz w:val="24"/>
          <w:szCs w:val="24"/>
        </w:rPr>
      </w:pPr>
    </w:p>
    <w:p w14:paraId="40AEEBCA" w14:textId="77777777" w:rsidR="00B74223" w:rsidRPr="00802D04" w:rsidRDefault="00B74223" w:rsidP="009B3C0D">
      <w:pPr>
        <w:spacing w:after="0" w:line="240" w:lineRule="auto"/>
        <w:rPr>
          <w:rFonts w:ascii="Times New Roman" w:hAnsi="Times New Roman" w:cs="Times New Roman"/>
          <w:b/>
          <w:sz w:val="24"/>
          <w:szCs w:val="24"/>
        </w:rPr>
      </w:pPr>
      <w:r w:rsidRPr="00802D04">
        <w:rPr>
          <w:rFonts w:ascii="Times New Roman" w:hAnsi="Times New Roman" w:cs="Times New Roman"/>
          <w:sz w:val="24"/>
          <w:szCs w:val="24"/>
        </w:rPr>
        <w:t xml:space="preserve">                                                       </w:t>
      </w:r>
    </w:p>
    <w:p w14:paraId="119882A5" w14:textId="782E7FB6" w:rsidR="00436438" w:rsidRPr="00802D04" w:rsidRDefault="00B74223" w:rsidP="009B3C0D">
      <w:pPr>
        <w:spacing w:line="240" w:lineRule="auto"/>
        <w:rPr>
          <w:rFonts w:ascii="Times New Roman" w:hAnsi="Times New Roman" w:cs="Times New Roman"/>
          <w:sz w:val="24"/>
          <w:szCs w:val="24"/>
        </w:rPr>
      </w:pPr>
      <w:r w:rsidRPr="00802D04">
        <w:rPr>
          <w:rFonts w:ascii="Times New Roman" w:hAnsi="Times New Roman" w:cs="Times New Roman"/>
          <w:b/>
          <w:sz w:val="24"/>
          <w:szCs w:val="24"/>
        </w:rPr>
        <w:t xml:space="preserve">NOTE:  </w:t>
      </w:r>
      <w:r w:rsidR="00F25B0A">
        <w:rPr>
          <w:rFonts w:ascii="Times New Roman" w:hAnsi="Times New Roman" w:cs="Times New Roman"/>
          <w:sz w:val="24"/>
          <w:szCs w:val="24"/>
        </w:rPr>
        <w:t>Offices need to focus on securing past bond increase proposals, and balance available staff resources with efforts to propose increases from other bonds</w:t>
      </w:r>
      <w:r w:rsidR="00C454FC">
        <w:rPr>
          <w:rFonts w:ascii="Times New Roman" w:hAnsi="Times New Roman" w:cs="Times New Roman"/>
          <w:sz w:val="24"/>
          <w:szCs w:val="24"/>
        </w:rPr>
        <w:t xml:space="preserve">.  </w:t>
      </w:r>
      <w:r w:rsidR="00962304">
        <w:rPr>
          <w:rFonts w:ascii="Times New Roman" w:hAnsi="Times New Roman" w:cs="Times New Roman"/>
          <w:sz w:val="24"/>
          <w:szCs w:val="24"/>
        </w:rPr>
        <w:t>Office should not approve any</w:t>
      </w:r>
      <w:r w:rsidR="00C454FC">
        <w:rPr>
          <w:rFonts w:ascii="Times New Roman" w:hAnsi="Times New Roman" w:cs="Times New Roman"/>
          <w:sz w:val="24"/>
          <w:szCs w:val="24"/>
        </w:rPr>
        <w:t xml:space="preserve"> new APD</w:t>
      </w:r>
      <w:r w:rsidR="00F25B0A">
        <w:rPr>
          <w:rFonts w:ascii="Times New Roman" w:hAnsi="Times New Roman" w:cs="Times New Roman"/>
          <w:sz w:val="24"/>
          <w:szCs w:val="24"/>
        </w:rPr>
        <w:t xml:space="preserve"> for </w:t>
      </w:r>
      <w:r w:rsidR="00962304">
        <w:rPr>
          <w:rFonts w:ascii="Times New Roman" w:hAnsi="Times New Roman" w:cs="Times New Roman"/>
          <w:sz w:val="24"/>
          <w:szCs w:val="24"/>
        </w:rPr>
        <w:t>an</w:t>
      </w:r>
      <w:r w:rsidR="00F25B0A">
        <w:rPr>
          <w:rFonts w:ascii="Times New Roman" w:hAnsi="Times New Roman" w:cs="Times New Roman"/>
          <w:sz w:val="24"/>
          <w:szCs w:val="24"/>
        </w:rPr>
        <w:t xml:space="preserve"> operator while waiting on the bond increases.  </w:t>
      </w:r>
      <w:r w:rsidRPr="00802D04">
        <w:rPr>
          <w:rFonts w:ascii="Times New Roman" w:hAnsi="Times New Roman" w:cs="Times New Roman"/>
          <w:sz w:val="24"/>
          <w:szCs w:val="24"/>
        </w:rPr>
        <w:t>The BLM does not have the authority to increase or decrease bond amounts on Indian properties.  However, during review of Indian bonds, the BLM will use the risk factors and corresponding bond conversion table listed above and send the results of any proposed bond adjustment on Indian properties to the respective Bureau of Indian Affairs office with a statement summarizing the BLM’s review.</w:t>
      </w:r>
    </w:p>
    <w:sectPr w:rsidR="00436438" w:rsidRPr="00802D04" w:rsidSect="00A557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F2751" w14:textId="77777777" w:rsidR="00D73A7B" w:rsidRDefault="00D73A7B" w:rsidP="00B74223">
      <w:pPr>
        <w:spacing w:after="0" w:line="240" w:lineRule="auto"/>
      </w:pPr>
      <w:r>
        <w:separator/>
      </w:r>
    </w:p>
  </w:endnote>
  <w:endnote w:type="continuationSeparator" w:id="0">
    <w:p w14:paraId="376F1434" w14:textId="77777777" w:rsidR="00D73A7B" w:rsidRDefault="00D73A7B" w:rsidP="00B7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34AA" w14:textId="77777777" w:rsidR="00F37853" w:rsidRDefault="00F37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displacedByCustomXml="next"/>
  <w:sdt>
    <w:sdtPr>
      <w:rPr>
        <w:rFonts w:ascii="Times New Roman" w:hAnsi="Times New Roman" w:cs="Times New Roman"/>
        <w:sz w:val="24"/>
      </w:rPr>
      <w:id w:val="597524687"/>
      <w:docPartObj>
        <w:docPartGallery w:val="Page Numbers (Bottom of Page)"/>
        <w:docPartUnique/>
      </w:docPartObj>
    </w:sdtPr>
    <w:sdtEndPr>
      <w:rPr>
        <w:noProof/>
      </w:rPr>
    </w:sdtEndPr>
    <w:sdtContent>
      <w:p w14:paraId="681FD1BE" w14:textId="673202A9" w:rsidR="00B74223" w:rsidRPr="00F37853" w:rsidRDefault="00B74223">
        <w:pPr>
          <w:pStyle w:val="Footer"/>
          <w:jc w:val="right"/>
          <w:rPr>
            <w:rFonts w:ascii="Times New Roman" w:hAnsi="Times New Roman" w:cs="Times New Roman"/>
            <w:sz w:val="24"/>
          </w:rPr>
        </w:pPr>
        <w:r w:rsidRPr="00F37853">
          <w:rPr>
            <w:rFonts w:ascii="Times New Roman" w:hAnsi="Times New Roman" w:cs="Times New Roman"/>
            <w:sz w:val="24"/>
          </w:rPr>
          <w:t>Attachment 1-</w:t>
        </w:r>
        <w:r w:rsidRPr="00F37853">
          <w:rPr>
            <w:rFonts w:ascii="Times New Roman" w:hAnsi="Times New Roman" w:cs="Times New Roman"/>
            <w:sz w:val="24"/>
          </w:rPr>
          <w:fldChar w:fldCharType="begin"/>
        </w:r>
        <w:r w:rsidRPr="00F37853">
          <w:rPr>
            <w:rFonts w:ascii="Times New Roman" w:hAnsi="Times New Roman" w:cs="Times New Roman"/>
            <w:sz w:val="24"/>
          </w:rPr>
          <w:instrText xml:space="preserve"> PAGE   \* MERGEFORMAT </w:instrText>
        </w:r>
        <w:r w:rsidRPr="00F37853">
          <w:rPr>
            <w:rFonts w:ascii="Times New Roman" w:hAnsi="Times New Roman" w:cs="Times New Roman"/>
            <w:sz w:val="24"/>
          </w:rPr>
          <w:fldChar w:fldCharType="separate"/>
        </w:r>
        <w:r w:rsidR="00F37853">
          <w:rPr>
            <w:rFonts w:ascii="Times New Roman" w:hAnsi="Times New Roman" w:cs="Times New Roman"/>
            <w:noProof/>
            <w:sz w:val="24"/>
          </w:rPr>
          <w:t>1</w:t>
        </w:r>
        <w:r w:rsidRPr="00F37853">
          <w:rPr>
            <w:rFonts w:ascii="Times New Roman" w:hAnsi="Times New Roman" w:cs="Times New Roman"/>
            <w:noProof/>
            <w:sz w:val="24"/>
          </w:rPr>
          <w:fldChar w:fldCharType="end"/>
        </w:r>
      </w:p>
    </w:sdtContent>
  </w:sdt>
  <w:bookmarkEnd w:id="1"/>
  <w:p w14:paraId="27BE5E23" w14:textId="77777777" w:rsidR="00B74223" w:rsidRDefault="00B74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6274" w14:textId="77777777" w:rsidR="00F37853" w:rsidRDefault="00F37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EA907" w14:textId="77777777" w:rsidR="00D73A7B" w:rsidRDefault="00D73A7B" w:rsidP="00B74223">
      <w:pPr>
        <w:spacing w:after="0" w:line="240" w:lineRule="auto"/>
      </w:pPr>
      <w:r>
        <w:separator/>
      </w:r>
    </w:p>
  </w:footnote>
  <w:footnote w:type="continuationSeparator" w:id="0">
    <w:p w14:paraId="2E25D2E6" w14:textId="77777777" w:rsidR="00D73A7B" w:rsidRDefault="00D73A7B" w:rsidP="00B74223">
      <w:pPr>
        <w:spacing w:after="0" w:line="240" w:lineRule="auto"/>
      </w:pPr>
      <w:r>
        <w:continuationSeparator/>
      </w:r>
    </w:p>
  </w:footnote>
  <w:footnote w:id="1">
    <w:p w14:paraId="725EB4D5" w14:textId="77777777" w:rsidR="005F4593" w:rsidRDefault="005F4593" w:rsidP="005F4593">
      <w:pPr>
        <w:pStyle w:val="FootnoteText"/>
      </w:pPr>
      <w:r>
        <w:rPr>
          <w:rStyle w:val="FootnoteReference"/>
        </w:rPr>
        <w:footnoteRef/>
      </w:r>
      <w:r>
        <w:t xml:space="preserve"> Onshore Order #2 Section III defines major and minor violations that may warrant the BLM to issue INCs.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1E02" w14:textId="77777777" w:rsidR="00F37853" w:rsidRDefault="00F37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86EC" w14:textId="77777777" w:rsidR="00F37853" w:rsidRDefault="00F37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F337" w14:textId="77777777" w:rsidR="00F37853" w:rsidRDefault="00F37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E22"/>
    <w:multiLevelType w:val="hybridMultilevel"/>
    <w:tmpl w:val="EA7640F6"/>
    <w:lvl w:ilvl="0" w:tplc="7098F79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1266F"/>
    <w:multiLevelType w:val="hybridMultilevel"/>
    <w:tmpl w:val="45AC5774"/>
    <w:lvl w:ilvl="0" w:tplc="7C02D9CA">
      <w:start w:val="1"/>
      <w:numFmt w:val="decimal"/>
      <w:lvlText w:val="%1."/>
      <w:lvlJc w:val="left"/>
      <w:pPr>
        <w:ind w:left="2160" w:hanging="360"/>
      </w:pPr>
      <w:rPr>
        <w:rFonts w:ascii="Times New Roman" w:eastAsiaTheme="minorHAnsi"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1B1A1D"/>
    <w:multiLevelType w:val="hybridMultilevel"/>
    <w:tmpl w:val="8BFA8FF8"/>
    <w:lvl w:ilvl="0" w:tplc="C9486A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B23329"/>
    <w:multiLevelType w:val="hybridMultilevel"/>
    <w:tmpl w:val="B326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338B"/>
    <w:multiLevelType w:val="hybridMultilevel"/>
    <w:tmpl w:val="054EC998"/>
    <w:lvl w:ilvl="0" w:tplc="4BDE0A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FE1BF6"/>
    <w:multiLevelType w:val="hybridMultilevel"/>
    <w:tmpl w:val="B296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47628"/>
    <w:multiLevelType w:val="hybridMultilevel"/>
    <w:tmpl w:val="B044CA1C"/>
    <w:lvl w:ilvl="0" w:tplc="22E4C6C6">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B771B"/>
    <w:multiLevelType w:val="hybridMultilevel"/>
    <w:tmpl w:val="1E54C51C"/>
    <w:lvl w:ilvl="0" w:tplc="921A8B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695B2A"/>
    <w:multiLevelType w:val="hybridMultilevel"/>
    <w:tmpl w:val="2B32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24E25"/>
    <w:multiLevelType w:val="hybridMultilevel"/>
    <w:tmpl w:val="C6D46678"/>
    <w:lvl w:ilvl="0" w:tplc="22E4C6C6">
      <w:start w:val="1"/>
      <w:numFmt w:val="decimal"/>
      <w:lvlText w:val="%1."/>
      <w:lvlJc w:val="left"/>
      <w:pPr>
        <w:ind w:left="1080" w:hanging="360"/>
      </w:pPr>
      <w:rPr>
        <w:rFonts w:ascii="Times New Roman" w:eastAsiaTheme="minorHAnsi"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6CB166B"/>
    <w:multiLevelType w:val="hybridMultilevel"/>
    <w:tmpl w:val="8BEAF026"/>
    <w:lvl w:ilvl="0" w:tplc="7C02D9CA">
      <w:start w:val="1"/>
      <w:numFmt w:val="decimal"/>
      <w:lvlText w:val="%1."/>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0"/>
  </w:num>
  <w:num w:numId="4">
    <w:abstractNumId w:val="2"/>
  </w:num>
  <w:num w:numId="5">
    <w:abstractNumId w:val="3"/>
  </w:num>
  <w:num w:numId="6">
    <w:abstractNumId w:val="5"/>
  </w:num>
  <w:num w:numId="7">
    <w:abstractNumId w:val="10"/>
  </w:num>
  <w:num w:numId="8">
    <w:abstractNumId w:val="6"/>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23"/>
    <w:rsid w:val="000172DB"/>
    <w:rsid w:val="000946E4"/>
    <w:rsid w:val="000D67A1"/>
    <w:rsid w:val="000E099F"/>
    <w:rsid w:val="0016760A"/>
    <w:rsid w:val="001942E2"/>
    <w:rsid w:val="001A4D63"/>
    <w:rsid w:val="001B5D6F"/>
    <w:rsid w:val="002040AC"/>
    <w:rsid w:val="00231DED"/>
    <w:rsid w:val="00297A51"/>
    <w:rsid w:val="002A0EA9"/>
    <w:rsid w:val="002F5443"/>
    <w:rsid w:val="003E1A59"/>
    <w:rsid w:val="00465778"/>
    <w:rsid w:val="004C4BA5"/>
    <w:rsid w:val="004E770A"/>
    <w:rsid w:val="005828EC"/>
    <w:rsid w:val="005C6B44"/>
    <w:rsid w:val="005D6C92"/>
    <w:rsid w:val="005F4593"/>
    <w:rsid w:val="00670307"/>
    <w:rsid w:val="00691D06"/>
    <w:rsid w:val="0072713A"/>
    <w:rsid w:val="00772A52"/>
    <w:rsid w:val="007A55D7"/>
    <w:rsid w:val="007C2F75"/>
    <w:rsid w:val="007D354D"/>
    <w:rsid w:val="00802D04"/>
    <w:rsid w:val="008957D7"/>
    <w:rsid w:val="008D6F59"/>
    <w:rsid w:val="009471AA"/>
    <w:rsid w:val="00962304"/>
    <w:rsid w:val="009B3C0D"/>
    <w:rsid w:val="009B7BB4"/>
    <w:rsid w:val="009E1218"/>
    <w:rsid w:val="00A05F04"/>
    <w:rsid w:val="00A2292F"/>
    <w:rsid w:val="00A5574B"/>
    <w:rsid w:val="00A73901"/>
    <w:rsid w:val="00A90FC1"/>
    <w:rsid w:val="00AC06E8"/>
    <w:rsid w:val="00AF072F"/>
    <w:rsid w:val="00B442F9"/>
    <w:rsid w:val="00B74223"/>
    <w:rsid w:val="00B90962"/>
    <w:rsid w:val="00BB7A9A"/>
    <w:rsid w:val="00C065C6"/>
    <w:rsid w:val="00C12C29"/>
    <w:rsid w:val="00C454FC"/>
    <w:rsid w:val="00C730FF"/>
    <w:rsid w:val="00CC660B"/>
    <w:rsid w:val="00D73A7B"/>
    <w:rsid w:val="00DB0678"/>
    <w:rsid w:val="00DB102D"/>
    <w:rsid w:val="00E001ED"/>
    <w:rsid w:val="00E00C2F"/>
    <w:rsid w:val="00E021F4"/>
    <w:rsid w:val="00E240EB"/>
    <w:rsid w:val="00E91236"/>
    <w:rsid w:val="00EE05F3"/>
    <w:rsid w:val="00EE2B43"/>
    <w:rsid w:val="00F152D2"/>
    <w:rsid w:val="00F25B0A"/>
    <w:rsid w:val="00F37853"/>
    <w:rsid w:val="00F77EE7"/>
    <w:rsid w:val="00FC61F0"/>
    <w:rsid w:val="00FD1EC1"/>
    <w:rsid w:val="00FD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6811"/>
  <w15:chartTrackingRefBased/>
  <w15:docId w15:val="{4CA28076-CE09-4328-B6C2-E188E260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223"/>
    <w:pPr>
      <w:ind w:left="720"/>
      <w:contextualSpacing/>
    </w:pPr>
  </w:style>
  <w:style w:type="paragraph" w:styleId="NoSpacing">
    <w:name w:val="No Spacing"/>
    <w:uiPriority w:val="1"/>
    <w:qFormat/>
    <w:rsid w:val="00B74223"/>
    <w:pPr>
      <w:spacing w:after="0" w:line="240" w:lineRule="auto"/>
    </w:pPr>
  </w:style>
  <w:style w:type="paragraph" w:styleId="FootnoteText">
    <w:name w:val="footnote text"/>
    <w:basedOn w:val="Normal"/>
    <w:link w:val="FootnoteTextChar"/>
    <w:uiPriority w:val="99"/>
    <w:rsid w:val="00B742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74223"/>
    <w:rPr>
      <w:rFonts w:ascii="Times New Roman" w:eastAsia="Times New Roman" w:hAnsi="Times New Roman" w:cs="Times New Roman"/>
      <w:sz w:val="20"/>
      <w:szCs w:val="20"/>
    </w:rPr>
  </w:style>
  <w:style w:type="character" w:styleId="FootnoteReference">
    <w:name w:val="footnote reference"/>
    <w:uiPriority w:val="99"/>
    <w:rsid w:val="00B74223"/>
    <w:rPr>
      <w:rFonts w:cs="Times New Roman"/>
      <w:vertAlign w:val="superscript"/>
    </w:rPr>
  </w:style>
  <w:style w:type="paragraph" w:styleId="Header">
    <w:name w:val="header"/>
    <w:basedOn w:val="Normal"/>
    <w:link w:val="HeaderChar"/>
    <w:uiPriority w:val="99"/>
    <w:unhideWhenUsed/>
    <w:rsid w:val="00B7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23"/>
  </w:style>
  <w:style w:type="paragraph" w:styleId="Footer">
    <w:name w:val="footer"/>
    <w:basedOn w:val="Normal"/>
    <w:link w:val="FooterChar"/>
    <w:uiPriority w:val="99"/>
    <w:unhideWhenUsed/>
    <w:rsid w:val="00B7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23"/>
  </w:style>
  <w:style w:type="table" w:styleId="TableGrid">
    <w:name w:val="Table Grid"/>
    <w:basedOn w:val="TableNormal"/>
    <w:uiPriority w:val="39"/>
    <w:rsid w:val="005F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B7A9A"/>
    <w:rPr>
      <w:sz w:val="16"/>
      <w:szCs w:val="16"/>
    </w:rPr>
  </w:style>
  <w:style w:type="paragraph" w:styleId="CommentText">
    <w:name w:val="annotation text"/>
    <w:basedOn w:val="Normal"/>
    <w:link w:val="CommentTextChar"/>
    <w:uiPriority w:val="99"/>
    <w:unhideWhenUsed/>
    <w:rsid w:val="00BB7A9A"/>
    <w:pPr>
      <w:spacing w:line="240" w:lineRule="auto"/>
    </w:pPr>
    <w:rPr>
      <w:sz w:val="20"/>
      <w:szCs w:val="20"/>
    </w:rPr>
  </w:style>
  <w:style w:type="character" w:customStyle="1" w:styleId="CommentTextChar">
    <w:name w:val="Comment Text Char"/>
    <w:basedOn w:val="DefaultParagraphFont"/>
    <w:link w:val="CommentText"/>
    <w:uiPriority w:val="99"/>
    <w:rsid w:val="00BB7A9A"/>
    <w:rPr>
      <w:sz w:val="20"/>
      <w:szCs w:val="20"/>
    </w:rPr>
  </w:style>
  <w:style w:type="paragraph" w:styleId="CommentSubject">
    <w:name w:val="annotation subject"/>
    <w:basedOn w:val="CommentText"/>
    <w:next w:val="CommentText"/>
    <w:link w:val="CommentSubjectChar"/>
    <w:uiPriority w:val="99"/>
    <w:semiHidden/>
    <w:unhideWhenUsed/>
    <w:rsid w:val="00BB7A9A"/>
    <w:rPr>
      <w:b/>
      <w:bCs/>
    </w:rPr>
  </w:style>
  <w:style w:type="character" w:customStyle="1" w:styleId="CommentSubjectChar">
    <w:name w:val="Comment Subject Char"/>
    <w:basedOn w:val="CommentTextChar"/>
    <w:link w:val="CommentSubject"/>
    <w:uiPriority w:val="99"/>
    <w:semiHidden/>
    <w:rsid w:val="00BB7A9A"/>
    <w:rPr>
      <w:b/>
      <w:bCs/>
      <w:sz w:val="20"/>
      <w:szCs w:val="20"/>
    </w:rPr>
  </w:style>
  <w:style w:type="paragraph" w:styleId="BalloonText">
    <w:name w:val="Balloon Text"/>
    <w:basedOn w:val="Normal"/>
    <w:link w:val="BalloonTextChar"/>
    <w:uiPriority w:val="99"/>
    <w:semiHidden/>
    <w:unhideWhenUsed/>
    <w:rsid w:val="00BB7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BA1C-B5FE-40A4-B8ED-C32121B9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Dutta, Subijoy N</dc:creator>
  <cp:keywords/>
  <dc:description/>
  <cp:lastModifiedBy>Fowler, Ambyr B</cp:lastModifiedBy>
  <cp:revision>2</cp:revision>
  <cp:lastPrinted>2018-07-12T16:23:00Z</cp:lastPrinted>
  <dcterms:created xsi:type="dcterms:W3CDTF">2018-11-16T16:04:00Z</dcterms:created>
  <dcterms:modified xsi:type="dcterms:W3CDTF">2018-11-16T16:04:00Z</dcterms:modified>
</cp:coreProperties>
</file>