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BD" w:rsidRDefault="003C32BD" w:rsidP="003C32BD">
      <w:pP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 xml:space="preserve">This standard Determination of NEPA Adequacy (DNA) Worksheet, found in the BLM NEPA Handbook (H-1790-1), Appendix 8 (pp. 161-164), should be used to process oil and gas lease reinstatements pursuant to this Instruction Memorandum.  When completing the Worksheet for proposed lease reinstatements: (1) the “Proposed Action” should be described as a “Proposed Lease Reinstatement;” and (2) Questions 1 and 2 in Section D ordinarily will not ordinarily require an explanation, because NEPA documents prepared for proposed planning or leasing decisions, by their nature, analyze the same geographic area and a range of alternatives that encompasses a lease reinstatement. </w:t>
      </w:r>
    </w:p>
    <w:p w:rsidR="003C32BD" w:rsidRDefault="003C32BD" w:rsidP="003C32BD">
      <w:pPr>
        <w:spacing w:after="0"/>
        <w:jc w:val="center"/>
        <w:rPr>
          <w:rFonts w:ascii="Times New Roman" w:eastAsia="Times New Roman" w:hAnsi="Times New Roman" w:cs="Times New Roman"/>
          <w:b/>
          <w:sz w:val="32"/>
          <w:szCs w:val="32"/>
        </w:rPr>
      </w:pPr>
    </w:p>
    <w:p w:rsidR="003C32BD" w:rsidRDefault="003C32BD" w:rsidP="003C32B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Worksheet</w:t>
      </w:r>
    </w:p>
    <w:p w:rsidR="003C32BD" w:rsidRDefault="003C32BD" w:rsidP="003C32B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Determination of NEPA Adequacy (DNA)</w:t>
      </w:r>
    </w:p>
    <w:p w:rsidR="003C32BD" w:rsidRDefault="003C32BD" w:rsidP="003C32BD">
      <w:pPr>
        <w:spacing w:after="0" w:line="240" w:lineRule="auto"/>
      </w:pPr>
    </w:p>
    <w:p w:rsidR="003C32BD" w:rsidRDefault="003C32BD" w:rsidP="003C32B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U.S. Department of the Interior</w:t>
      </w:r>
    </w:p>
    <w:p w:rsidR="003C32BD" w:rsidRDefault="003C32BD" w:rsidP="003C32BD">
      <w:pPr>
        <w:spacing w:after="0"/>
        <w:jc w:val="center"/>
        <w:rPr>
          <w:rFonts w:ascii="Times New Roman" w:eastAsia="Times New Roman" w:hAnsi="Times New Roman" w:cs="Times New Roman"/>
          <w:b/>
        </w:rPr>
      </w:pPr>
      <w:r>
        <w:rPr>
          <w:rFonts w:ascii="Times New Roman" w:eastAsia="Times New Roman" w:hAnsi="Times New Roman" w:cs="Times New Roman"/>
          <w:b/>
        </w:rPr>
        <w:t>Bureau of Land Management</w:t>
      </w:r>
    </w:p>
    <w:p w:rsidR="003C32BD" w:rsidRDefault="003C32BD" w:rsidP="003C32BD">
      <w:pPr>
        <w:rPr>
          <w:rFonts w:ascii="Times New Roman" w:eastAsia="Times New Roman" w:hAnsi="Times New Roman" w:cs="Times New Roman"/>
          <w:sz w:val="24"/>
          <w:szCs w:val="24"/>
        </w:rPr>
      </w:pPr>
      <w:r>
        <w:rPr>
          <w:noProof/>
        </w:rPr>
        <mc:AlternateContent>
          <mc:Choice Requires="wps">
            <w:drawing>
              <wp:anchor distT="4294967294" distB="4294967294" distL="114298" distR="114298" simplePos="0" relativeHeight="251659264" behindDoc="0" locked="0" layoutInCell="1" hidden="0" allowOverlap="1" wp14:anchorId="28E945A1" wp14:editId="1820FA52">
                <wp:simplePos x="0" y="0"/>
                <wp:positionH relativeFrom="margin">
                  <wp:posOffset>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175" cap="flat" cmpd="sng">
                          <a:solidFill>
                            <a:srgbClr val="020000"/>
                          </a:solidFill>
                          <a:prstDash val="solid"/>
                          <a:round/>
                          <a:headEnd type="none" w="med" len="med"/>
                          <a:tailEnd type="none" w="med" len="med"/>
                        </a:ln>
                      </wps:spPr>
                      <wps:bodyPr/>
                    </wps:wsp>
                  </a:graphicData>
                </a:graphic>
              </wp:anchor>
            </w:drawing>
          </mc:Choice>
          <mc:Fallback>
            <w:pict>
              <v:shapetype w14:anchorId="1E9F5E0E" id="_x0000_t32" coordsize="21600,21600" o:spt="32" o:oned="t" path="m,l21600,21600e" filled="f">
                <v:path arrowok="t" fillok="f" o:connecttype="none"/>
                <o:lock v:ext="edit" shapetype="t"/>
              </v:shapetype>
              <v:shape id="Straight Arrow Connector 1" o:spid="_x0000_s1026" type="#_x0000_t32" style="position:absolute;margin-left:0;margin-top:0;width:1pt;height:1pt;z-index:251659264;visibility:visible;mso-wrap-style:square;mso-wrap-distance-left:3.17494mm;mso-wrap-distance-top:-6e-5mm;mso-wrap-distance-right:3.17494mm;mso-wrap-distance-bottom:-6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" strokecolor="#020000" strokeweight=".33819mm">
                <w10:wrap anchorx="margin"/>
              </v:shape>
            </w:pict>
          </mc:Fallback>
        </mc:AlternateContent>
      </w:r>
      <w:r>
        <w:rPr>
          <w:noProof/>
        </w:rPr>
        <mc:AlternateContent>
          <mc:Choice Requires="wps">
            <w:drawing>
              <wp:anchor distT="4294967294" distB="4294967294" distL="114300" distR="114300" simplePos="0" relativeHeight="251660288" behindDoc="0" locked="0" layoutInCell="1" hidden="0" allowOverlap="1" wp14:anchorId="442FE48B" wp14:editId="7C5F90A5">
                <wp:simplePos x="0" y="0"/>
                <wp:positionH relativeFrom="margin">
                  <wp:posOffset>0</wp:posOffset>
                </wp:positionH>
                <wp:positionV relativeFrom="paragraph">
                  <wp:posOffset>0</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175" cap="flat" cmpd="sng">
                          <a:solidFill>
                            <a:srgbClr val="020000"/>
                          </a:solidFill>
                          <a:prstDash val="solid"/>
                          <a:round/>
                          <a:headEnd type="none" w="med" len="med"/>
                          <a:tailEnd type="none" w="med" len="med"/>
                        </a:ln>
                      </wps:spPr>
                      <wps:bodyPr/>
                    </wps:wsp>
                  </a:graphicData>
                </a:graphic>
              </wp:anchor>
            </w:drawing>
          </mc:Choice>
          <mc:Fallback>
            <w:pict>
              <v:shape w14:anchorId="6ED57301" id="Straight Arrow Connector 2" o:spid="_x0000_s1026" type="#_x0000_t32" style="position:absolute;margin-left:0;margin-top:0;width:468pt;height:1pt;z-index:251660288;visibility:visible;mso-wrap-style:square;mso-wrap-distance-left:9pt;mso-wrap-distance-top:-6e-5mm;mso-wrap-distance-right:9pt;mso-wrap-distance-bottom:-6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" strokecolor="#020000" strokeweight=".33819mm">
                <w10:wrap anchorx="margin"/>
              </v:shape>
            </w:pict>
          </mc:Fallback>
        </mc:AlternateContent>
      </w:r>
    </w:p>
    <w:p w:rsidR="003C32BD" w:rsidRDefault="003C32BD" w:rsidP="003C32BD">
      <w:pPr>
        <w:ind w:righ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OFFICE:</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TRACKING NUMBER:</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CASEFILE/PROJECT NUMBER</w:t>
      </w:r>
      <w:r>
        <w:rPr>
          <w:rFonts w:ascii="Times New Roman" w:eastAsia="Times New Roman" w:hAnsi="Times New Roman" w:cs="Times New Roman"/>
          <w:sz w:val="24"/>
          <w:szCs w:val="24"/>
        </w:rPr>
        <w:t>:</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PROPOSED ACTION TITLE/TYPE</w:t>
      </w:r>
      <w:r>
        <w:rPr>
          <w:rFonts w:ascii="Times New Roman" w:eastAsia="Times New Roman" w:hAnsi="Times New Roman" w:cs="Times New Roman"/>
          <w:sz w:val="24"/>
          <w:szCs w:val="24"/>
        </w:rPr>
        <w:t>:</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LOCATION/LEGAL DESCRIPTION</w:t>
      </w:r>
      <w:r>
        <w:rPr>
          <w:rFonts w:ascii="Times New Roman" w:eastAsia="Times New Roman" w:hAnsi="Times New Roman" w:cs="Times New Roman"/>
          <w:sz w:val="24"/>
          <w:szCs w:val="24"/>
        </w:rPr>
        <w:t>:</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APPLICANT (if any)</w:t>
      </w:r>
      <w:r>
        <w:rPr>
          <w:rFonts w:ascii="Times New Roman" w:eastAsia="Times New Roman" w:hAnsi="Times New Roman" w:cs="Times New Roman"/>
          <w:sz w:val="24"/>
          <w:szCs w:val="24"/>
        </w:rPr>
        <w:t>:</w:t>
      </w:r>
    </w:p>
    <w:p w:rsidR="003C32BD" w:rsidRDefault="003C32BD" w:rsidP="003C32BD">
      <w:pPr>
        <w:spacing w:after="0" w:line="240" w:lineRule="auto"/>
      </w:pP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A.  Description of the Proposed Action and any applicable mitigation measures</w:t>
      </w:r>
    </w:p>
    <w:p w:rsidR="003C32BD" w:rsidRDefault="003C32BD" w:rsidP="003C32BD">
      <w:pPr>
        <w:spacing w:after="0" w:line="240" w:lineRule="auto"/>
      </w:pPr>
    </w:p>
    <w:p w:rsidR="003C32BD" w:rsidRDefault="003C32BD" w:rsidP="003C32BD">
      <w:pPr>
        <w:ind w:right="-360"/>
        <w:rPr>
          <w:rFonts w:ascii="Times New Roman" w:eastAsia="Times New Roman" w:hAnsi="Times New Roman" w:cs="Times New Roman"/>
          <w:sz w:val="24"/>
          <w:szCs w:val="24"/>
        </w:rPr>
      </w:pPr>
    </w:p>
    <w:p w:rsidR="003C32BD" w:rsidRDefault="003C32BD" w:rsidP="003C32BD">
      <w:pPr>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B.  Land Use Plan (LUP) Conformance</w:t>
      </w:r>
    </w:p>
    <w:p w:rsidR="003C32BD" w:rsidRDefault="003C32BD" w:rsidP="003C32BD">
      <w:pPr>
        <w:ind w:right="-360"/>
        <w:rPr>
          <w:rFonts w:ascii="Times New Roman" w:eastAsia="Times New Roman" w:hAnsi="Times New Roman" w:cs="Times New Roman"/>
          <w:sz w:val="24"/>
          <w:szCs w:val="24"/>
        </w:rPr>
      </w:pPr>
    </w:p>
    <w:p w:rsidR="003C32BD" w:rsidRDefault="003C32BD" w:rsidP="003C32BD">
      <w:pPr>
        <w:tabs>
          <w:tab w:val="left" w:pos="5760"/>
        </w:tabs>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LUP 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Date Approved _______________</w:t>
      </w:r>
    </w:p>
    <w:p w:rsidR="003C32BD" w:rsidRDefault="003C32BD" w:rsidP="003C32BD">
      <w:pPr>
        <w:tabs>
          <w:tab w:val="left" w:pos="5760"/>
        </w:tabs>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document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r>
        <w:rPr>
          <w:rFonts w:ascii="Times New Roman" w:eastAsia="Times New Roman" w:hAnsi="Times New Roman" w:cs="Times New Roman"/>
          <w:sz w:val="24"/>
          <w:szCs w:val="24"/>
        </w:rPr>
        <w:tab/>
        <w:t>Date Approved _______________</w:t>
      </w:r>
    </w:p>
    <w:p w:rsidR="003C32BD" w:rsidRDefault="003C32BD" w:rsidP="003C32BD">
      <w:pPr>
        <w:tabs>
          <w:tab w:val="left" w:pos="5760"/>
        </w:tabs>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document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r>
        <w:rPr>
          <w:rFonts w:ascii="Times New Roman" w:eastAsia="Times New Roman" w:hAnsi="Times New Roman" w:cs="Times New Roman"/>
          <w:sz w:val="24"/>
          <w:szCs w:val="24"/>
        </w:rPr>
        <w:tab/>
        <w:t>Date Approved _______________</w:t>
      </w:r>
    </w:p>
    <w:p w:rsidR="003C32BD" w:rsidRDefault="003C32BD" w:rsidP="003C32BD">
      <w:pPr>
        <w:tabs>
          <w:tab w:val="left" w:pos="5580"/>
        </w:tabs>
        <w:ind w:right="-360"/>
        <w:rPr>
          <w:rFonts w:ascii="Times New Roman" w:eastAsia="Times New Roman" w:hAnsi="Times New Roman" w:cs="Times New Roman"/>
          <w:sz w:val="24"/>
          <w:szCs w:val="24"/>
        </w:rPr>
      </w:pPr>
    </w:p>
    <w:p w:rsidR="003C32BD" w:rsidRDefault="003C32BD" w:rsidP="003C32BD">
      <w:pPr>
        <w:ind w:left="720" w:righ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List applicable LUPs (e.g., resource management plans; activity, project, management, or program plans; or applicable amendments)</w:t>
      </w: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action is in conformance with the applicable LUP because it is specifically provided for in the following LUP decisions:</w:t>
      </w: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action is in conformance with the LUP, even though it is not specifically provided for, because it is clearly consistent with the following LUP decisions (objectives, terms, and conditions):</w:t>
      </w: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line="240" w:lineRule="auto"/>
      </w:pP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  Identify applicable National Environmental Policy Act (NEPA) documents and other related documents that cover the proposed action.</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by name and date all applicable NEPA documents that cover the proposed action.</w:t>
      </w: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List by name and date other documentation relevant to the proposed action (e.g., biological assessment, biological opinion, watershed assessment, allotment evaluation, and monitoring report).</w:t>
      </w:r>
    </w:p>
    <w:p w:rsidR="003C32BD" w:rsidRDefault="003C32BD" w:rsidP="003C32BD">
      <w:pPr>
        <w:rPr>
          <w:rFonts w:ascii="Times New Roman" w:eastAsia="Times New Roman" w:hAnsi="Times New Roman" w:cs="Times New Roman"/>
          <w:b/>
          <w:sz w:val="24"/>
          <w:szCs w:val="24"/>
        </w:rPr>
      </w:pP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  NEPA Adequacy Criteria</w:t>
      </w:r>
    </w:p>
    <w:p w:rsidR="003C32BD" w:rsidRDefault="003C32BD" w:rsidP="003C32B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Is the new proposed action a feature of, or essentially similar to, an alternative analyzed in the existing NEPA document(s)?  Is the project within the same analysis area, or if the project location is different, are the geographic and resource conditions sufficiently similar </w:t>
      </w:r>
      <w:r>
        <w:rPr>
          <w:rFonts w:ascii="Times New Roman" w:eastAsia="Times New Roman" w:hAnsi="Times New Roman" w:cs="Times New Roman"/>
          <w:b/>
          <w:sz w:val="24"/>
          <w:szCs w:val="24"/>
        </w:rPr>
        <w:lastRenderedPageBreak/>
        <w:t>to those analyzed in the existing NEPA document(s)?  If there are differences, can you explain why they are not substantial?</w:t>
      </w:r>
    </w:p>
    <w:p w:rsidR="003C32BD" w:rsidRDefault="003C32BD" w:rsidP="003C32BD">
      <w:pPr>
        <w:spacing w:after="0"/>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of answer and explanation:  </w:t>
      </w: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noted at the top of the Worksheet, Question 1 ordinarily will not require an explanation for proposed lease reinstatements.) </w:t>
      </w: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2.  Is the range of alternatives analyzed in the existing NEPA document(s) appropriate with respect to the new proposed action, given current environmental concerns, interests, and resource values?</w:t>
      </w:r>
    </w:p>
    <w:p w:rsidR="003C32BD" w:rsidRDefault="003C32BD" w:rsidP="003C32BD">
      <w:pPr>
        <w:spacing w:after="0"/>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answer and explanation:</w:t>
      </w: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noted at the top of the Worksheet, Question 2 ordinarily will not require an explanation for proposed lease reinstatements.) </w:t>
      </w:r>
    </w:p>
    <w:p w:rsidR="003C32BD" w:rsidRDefault="003C32BD" w:rsidP="003C32B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3.  Is the existing analysis valid in light of any new information or circumstances (such as, rangeland health standard assessment, recent endangered species listings, updated lists of BLM-sensitive species)?  Can you reasonably conclude that new information and new circumstances would not substantially change the analysis of the new proposed action?</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answer and explanation:</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Are the direct, indirect, and cumulative effects that would result from implementation of the new proposed action similar (both quantitatively and qualitatively) to those analyzed in the existing NEPA document? </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answer and explanation:</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Are the public involvement and interagency review associated with existing NEPA document(s) adequate for the current proposed action?</w:t>
      </w:r>
    </w:p>
    <w:p w:rsidR="003C32BD" w:rsidRDefault="003C32BD" w:rsidP="003C32BD">
      <w:pPr>
        <w:rPr>
          <w:rFonts w:ascii="Times New Roman" w:eastAsia="Times New Roman" w:hAnsi="Times New Roman" w:cs="Times New Roman"/>
          <w:b/>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answer and explanation:</w:t>
      </w:r>
    </w:p>
    <w:p w:rsidR="003C32BD" w:rsidRDefault="003C32BD" w:rsidP="003C32BD">
      <w:pPr>
        <w:rPr>
          <w:rFonts w:ascii="Times New Roman" w:eastAsia="Times New Roman" w:hAnsi="Times New Roman" w:cs="Times New Roman"/>
          <w:b/>
          <w:sz w:val="24"/>
          <w:szCs w:val="24"/>
        </w:rPr>
      </w:pPr>
    </w:p>
    <w:p w:rsidR="003C32BD" w:rsidRDefault="003C32BD" w:rsidP="003C32BD">
      <w:pPr>
        <w:rPr>
          <w:rFonts w:ascii="Times New Roman" w:eastAsia="Times New Roman" w:hAnsi="Times New Roman" w:cs="Times New Roman"/>
          <w:b/>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  Persons/Agencies /BLM Staff Consulted</w:t>
      </w:r>
    </w:p>
    <w:p w:rsidR="003C32BD" w:rsidRDefault="003C32BD" w:rsidP="003C32BD">
      <w:pPr>
        <w:tabs>
          <w:tab w:val="left" w:pos="720"/>
          <w:tab w:val="left" w:pos="1440"/>
          <w:tab w:val="left" w:pos="2160"/>
          <w:tab w:val="left" w:pos="2880"/>
          <w:tab w:val="left" w:pos="3600"/>
          <w:tab w:val="left" w:pos="4320"/>
          <w:tab w:val="left" w:pos="5040"/>
        </w:tabs>
        <w:rPr>
          <w:rFonts w:ascii="Times New Roman" w:eastAsia="Times New Roman" w:hAnsi="Times New Roman" w:cs="Times New Roman"/>
          <w:sz w:val="24"/>
          <w:szCs w:val="24"/>
        </w:rPr>
      </w:pPr>
    </w:p>
    <w:p w:rsidR="003C32BD" w:rsidRDefault="003C32BD" w:rsidP="003C32BD">
      <w:pPr>
        <w:tabs>
          <w:tab w:val="left" w:pos="720"/>
          <w:tab w:val="left" w:pos="1440"/>
          <w:tab w:val="left" w:pos="2160"/>
          <w:tab w:val="left" w:pos="2880"/>
          <w:tab w:val="left" w:pos="3600"/>
          <w:tab w:val="left" w:pos="4320"/>
          <w:tab w:val="left" w:pos="50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Name   _</w:t>
      </w:r>
      <w:r>
        <w:rPr>
          <w:rFonts w:ascii="Times New Roman" w:eastAsia="Times New Roman" w:hAnsi="Times New Roman" w:cs="Times New Roman"/>
          <w:sz w:val="24"/>
          <w:szCs w:val="24"/>
          <w:u w:val="single"/>
        </w:rPr>
        <w:tab/>
        <w:t xml:space="preserve"> _</w:t>
      </w:r>
      <w:r>
        <w:rPr>
          <w:rFonts w:ascii="Times New Roman" w:eastAsia="Times New Roman" w:hAnsi="Times New Roman" w:cs="Times New Roman"/>
          <w:sz w:val="24"/>
          <w:szCs w:val="24"/>
          <w:u w:val="single"/>
        </w:rPr>
        <w:tab/>
        <w:t xml:space="preserve">       Title                           Resource/Agency Represented</w:t>
      </w:r>
    </w:p>
    <w:p w:rsidR="003C32BD" w:rsidRDefault="003C32BD" w:rsidP="003C32BD">
      <w:pPr>
        <w:rPr>
          <w:rFonts w:ascii="Times New Roman" w:eastAsia="Times New Roman" w:hAnsi="Times New Roman" w:cs="Times New Roman"/>
          <w:sz w:val="24"/>
          <w:szCs w:val="24"/>
        </w:rPr>
      </w:pP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Refer to the EA/EIS for a complete list of the team members participating in the preparation of the original environmental analysis or planning documents.</w:t>
      </w: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C32BD" w:rsidRDefault="003C32BD" w:rsidP="003C32BD">
      <w:pPr>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Conclusion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If you found that one or more of these criteria is not met, you will not be able to check this box.)</w:t>
      </w:r>
    </w:p>
    <w:p w:rsidR="003C32BD" w:rsidRDefault="003C32BD" w:rsidP="003C32BD">
      <w:pPr>
        <w:spacing w:after="0" w:line="240" w:lineRule="auto"/>
      </w:pPr>
    </w:p>
    <w:p w:rsidR="003C32BD" w:rsidRDefault="003C32BD" w:rsidP="003C32BD">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Based on the review documented above, I conclude that this proposal conforms to the applicable land use plan and that the existing NEPA documentation fully covers the proposed action and constitutes the BLM’s compliance with NEPA requirements.</w:t>
      </w:r>
    </w:p>
    <w:p w:rsidR="003C32BD" w:rsidRDefault="003C32BD" w:rsidP="003C32BD">
      <w:pPr>
        <w:spacing w:after="0"/>
        <w:ind w:left="144"/>
        <w:rPr>
          <w:rFonts w:ascii="Times New Roman" w:eastAsia="Times New Roman" w:hAnsi="Times New Roman" w:cs="Times New Roman"/>
          <w:i/>
          <w:sz w:val="24"/>
          <w:szCs w:val="24"/>
        </w:rPr>
      </w:pPr>
    </w:p>
    <w:p w:rsidR="003C32BD" w:rsidRDefault="00A34BCF" w:rsidP="003C32BD">
      <w:pPr>
        <w:spacing w:after="0"/>
        <w:rPr>
          <w:rFonts w:ascii="Times New Roman" w:eastAsia="Times New Roman" w:hAnsi="Times New Roman" w:cs="Times New Roman"/>
          <w:sz w:val="24"/>
          <w:szCs w:val="24"/>
        </w:rPr>
      </w:pPr>
      <w:r>
        <w:pict>
          <v:rect id="_x0000_i1025" style="width:0;height:1.5pt" o:hralign="center" o:hrstd="t" o:hr="t" fillcolor="#a0a0a0" stroked="f"/>
        </w:pict>
      </w:r>
    </w:p>
    <w:p w:rsidR="003C32BD" w:rsidRDefault="003C32BD" w:rsidP="003C32BD">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Signature of Project Lead</w:t>
      </w:r>
    </w:p>
    <w:p w:rsidR="003C32BD" w:rsidRDefault="003C32BD" w:rsidP="003C32BD">
      <w:pPr>
        <w:spacing w:after="0"/>
        <w:rPr>
          <w:rFonts w:ascii="Times New Roman" w:eastAsia="Times New Roman" w:hAnsi="Times New Roman" w:cs="Times New Roman"/>
          <w:sz w:val="24"/>
          <w:szCs w:val="24"/>
          <w:u w:val="single"/>
        </w:rPr>
      </w:pPr>
    </w:p>
    <w:p w:rsidR="003C32BD" w:rsidRDefault="00A34BCF" w:rsidP="003C32BD">
      <w:pPr>
        <w:spacing w:after="0"/>
        <w:rPr>
          <w:rFonts w:ascii="Times New Roman" w:eastAsia="Times New Roman" w:hAnsi="Times New Roman" w:cs="Times New Roman"/>
          <w:sz w:val="24"/>
          <w:szCs w:val="24"/>
        </w:rPr>
      </w:pPr>
      <w:r>
        <w:pict>
          <v:rect id="_x0000_i1026" style="width:0;height:1.5pt" o:hralign="center" o:hrstd="t" o:hr="t" fillcolor="#a0a0a0" stroked="f"/>
        </w:pict>
      </w:r>
    </w:p>
    <w:p w:rsidR="003C32BD" w:rsidRDefault="003C32BD" w:rsidP="003C32BD">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Signature of NEPA Coordinator</w:t>
      </w:r>
    </w:p>
    <w:p w:rsidR="003C32BD" w:rsidRDefault="003C32BD" w:rsidP="003C32BD">
      <w:pPr>
        <w:spacing w:after="0"/>
        <w:rPr>
          <w:rFonts w:ascii="Times New Roman" w:eastAsia="Times New Roman" w:hAnsi="Times New Roman" w:cs="Times New Roman"/>
          <w:sz w:val="24"/>
          <w:szCs w:val="24"/>
          <w:u w:val="single"/>
        </w:rPr>
      </w:pPr>
    </w:p>
    <w:p w:rsidR="003C32BD" w:rsidRDefault="00A34BCF" w:rsidP="003C32BD">
      <w:pPr>
        <w:spacing w:after="0"/>
        <w:rPr>
          <w:rFonts w:ascii="Times New Roman" w:eastAsia="Times New Roman" w:hAnsi="Times New Roman" w:cs="Times New Roman"/>
          <w:sz w:val="24"/>
          <w:szCs w:val="24"/>
        </w:rPr>
      </w:pPr>
      <w:r>
        <w:pict>
          <v:rect id="_x0000_i1027" style="width:0;height:1.5pt" o:hralign="center" o:hrstd="t" o:hr="t" fillcolor="#a0a0a0" stroked="f"/>
        </w:pict>
      </w:r>
      <w:r w:rsidR="003C32BD">
        <w:rPr>
          <w:rFonts w:ascii="Times New Roman" w:eastAsia="Times New Roman" w:hAnsi="Times New Roman" w:cs="Times New Roman"/>
          <w:sz w:val="24"/>
          <w:szCs w:val="24"/>
        </w:rPr>
        <w:t>Signature of the Responsible Official</w:t>
      </w:r>
      <w:r w:rsidR="003C32BD">
        <w:rPr>
          <w:rFonts w:ascii="Times New Roman" w:eastAsia="Times New Roman" w:hAnsi="Times New Roman" w:cs="Times New Roman"/>
          <w:sz w:val="24"/>
          <w:szCs w:val="24"/>
        </w:rPr>
        <w:tab/>
      </w:r>
      <w:r w:rsidR="003C32BD">
        <w:rPr>
          <w:rFonts w:ascii="Times New Roman" w:eastAsia="Times New Roman" w:hAnsi="Times New Roman" w:cs="Times New Roman"/>
          <w:sz w:val="24"/>
          <w:szCs w:val="24"/>
        </w:rPr>
        <w:tab/>
      </w:r>
      <w:r w:rsidR="003C32BD">
        <w:rPr>
          <w:rFonts w:ascii="Times New Roman" w:eastAsia="Times New Roman" w:hAnsi="Times New Roman" w:cs="Times New Roman"/>
          <w:sz w:val="24"/>
          <w:szCs w:val="24"/>
        </w:rPr>
        <w:tab/>
      </w:r>
      <w:r w:rsidR="003C32BD">
        <w:rPr>
          <w:rFonts w:ascii="Times New Roman" w:eastAsia="Times New Roman" w:hAnsi="Times New Roman" w:cs="Times New Roman"/>
          <w:sz w:val="24"/>
          <w:szCs w:val="24"/>
        </w:rPr>
        <w:tab/>
      </w:r>
      <w:r w:rsidR="003C32BD">
        <w:rPr>
          <w:rFonts w:ascii="Times New Roman" w:eastAsia="Times New Roman" w:hAnsi="Times New Roman" w:cs="Times New Roman"/>
          <w:sz w:val="24"/>
          <w:szCs w:val="24"/>
        </w:rPr>
        <w:tab/>
        <w:t>Date</w:t>
      </w:r>
    </w:p>
    <w:p w:rsidR="003C32BD" w:rsidRDefault="003C32BD" w:rsidP="003C32BD">
      <w:pPr>
        <w:rPr>
          <w:rFonts w:ascii="Times New Roman" w:eastAsia="Times New Roman" w:hAnsi="Times New Roman" w:cs="Times New Roman"/>
          <w:sz w:val="24"/>
          <w:szCs w:val="24"/>
        </w:rPr>
      </w:pPr>
    </w:p>
    <w:p w:rsidR="003C32BD" w:rsidRDefault="003C32BD" w:rsidP="003C32B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The signed </w:t>
      </w:r>
      <w:r>
        <w:rPr>
          <w:rFonts w:ascii="Times New Roman" w:eastAsia="Times New Roman" w:hAnsi="Times New Roman" w:cs="Times New Roman"/>
          <w:sz w:val="24"/>
          <w:szCs w:val="24"/>
          <w:u w:val="single"/>
        </w:rPr>
        <w:t>Conclusion</w:t>
      </w:r>
      <w:r>
        <w:rPr>
          <w:rFonts w:ascii="Times New Roman" w:eastAsia="Times New Roman" w:hAnsi="Times New Roman" w:cs="Times New Roman"/>
          <w:sz w:val="24"/>
          <w:szCs w:val="24"/>
        </w:rPr>
        <w:t xml:space="preserve"> on this Worksheet is part of an interim step in the BLM’s internal decision process and does not constitute an appealable decision.  However, the lease, permit, or other authorization based on this DNA is subject to protest or appeal under 43 CFR Part 4 and the program-specific regulations.</w:t>
      </w:r>
    </w:p>
    <w:p w:rsidR="00302126" w:rsidRDefault="00302126"/>
    <w:sectPr w:rsidR="00302126" w:rsidSect="007458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B5" w:rsidRDefault="007458B5" w:rsidP="007458B5">
      <w:pPr>
        <w:spacing w:after="0" w:line="240" w:lineRule="auto"/>
      </w:pPr>
      <w:r>
        <w:separator/>
      </w:r>
    </w:p>
  </w:endnote>
  <w:endnote w:type="continuationSeparator" w:id="0">
    <w:p w:rsidR="007458B5" w:rsidRDefault="007458B5" w:rsidP="0074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B5" w:rsidRPr="007458B5" w:rsidRDefault="007458B5" w:rsidP="007458B5">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69404"/>
      <w:docPartObj>
        <w:docPartGallery w:val="Page Numbers (Bottom of Page)"/>
        <w:docPartUnique/>
      </w:docPartObj>
    </w:sdtPr>
    <w:sdtEndPr>
      <w:rPr>
        <w:rFonts w:ascii="Times New Roman" w:hAnsi="Times New Roman" w:cs="Times New Roman"/>
        <w:noProof/>
        <w:sz w:val="24"/>
        <w:szCs w:val="24"/>
      </w:rPr>
    </w:sdtEndPr>
    <w:sdtContent>
      <w:p w:rsidR="007458B5" w:rsidRPr="007458B5" w:rsidRDefault="007458B5">
        <w:pPr>
          <w:pStyle w:val="Footer"/>
          <w:jc w:val="right"/>
          <w:rPr>
            <w:rFonts w:ascii="Times New Roman" w:hAnsi="Times New Roman" w:cs="Times New Roman"/>
            <w:sz w:val="24"/>
            <w:szCs w:val="24"/>
          </w:rPr>
        </w:pPr>
        <w:r w:rsidRPr="007458B5">
          <w:rPr>
            <w:rFonts w:ascii="Times New Roman" w:hAnsi="Times New Roman" w:cs="Times New Roman"/>
            <w:sz w:val="24"/>
            <w:szCs w:val="24"/>
          </w:rPr>
          <w:t>Attachment 2 -</w:t>
        </w:r>
        <w:r w:rsidRPr="007458B5">
          <w:rPr>
            <w:rFonts w:ascii="Times New Roman" w:hAnsi="Times New Roman" w:cs="Times New Roman"/>
            <w:sz w:val="24"/>
            <w:szCs w:val="24"/>
          </w:rPr>
          <w:fldChar w:fldCharType="begin"/>
        </w:r>
        <w:r w:rsidRPr="007458B5">
          <w:rPr>
            <w:rFonts w:ascii="Times New Roman" w:hAnsi="Times New Roman" w:cs="Times New Roman"/>
            <w:sz w:val="24"/>
            <w:szCs w:val="24"/>
          </w:rPr>
          <w:instrText xml:space="preserve"> PAGE   \* MERGEFORMAT </w:instrText>
        </w:r>
        <w:r w:rsidRPr="007458B5">
          <w:rPr>
            <w:rFonts w:ascii="Times New Roman" w:hAnsi="Times New Roman" w:cs="Times New Roman"/>
            <w:sz w:val="24"/>
            <w:szCs w:val="24"/>
          </w:rPr>
          <w:fldChar w:fldCharType="separate"/>
        </w:r>
        <w:r w:rsidR="00A34BCF">
          <w:rPr>
            <w:rFonts w:ascii="Times New Roman" w:hAnsi="Times New Roman" w:cs="Times New Roman"/>
            <w:noProof/>
            <w:sz w:val="24"/>
            <w:szCs w:val="24"/>
          </w:rPr>
          <w:t>1</w:t>
        </w:r>
        <w:r w:rsidRPr="007458B5">
          <w:rPr>
            <w:rFonts w:ascii="Times New Roman" w:hAnsi="Times New Roman" w:cs="Times New Roman"/>
            <w:noProof/>
            <w:sz w:val="24"/>
            <w:szCs w:val="24"/>
          </w:rPr>
          <w:fldChar w:fldCharType="end"/>
        </w:r>
      </w:p>
    </w:sdtContent>
  </w:sdt>
  <w:p w:rsidR="007458B5" w:rsidRDefault="007458B5" w:rsidP="007458B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3773503"/>
      <w:docPartObj>
        <w:docPartGallery w:val="Page Numbers (Bottom of Page)"/>
        <w:docPartUnique/>
      </w:docPartObj>
    </w:sdtPr>
    <w:sdtEndPr>
      <w:rPr>
        <w:noProof/>
      </w:rPr>
    </w:sdtEndPr>
    <w:sdtContent>
      <w:p w:rsidR="007458B5" w:rsidRPr="007458B5" w:rsidRDefault="007458B5">
        <w:pPr>
          <w:pStyle w:val="Footer"/>
          <w:jc w:val="right"/>
          <w:rPr>
            <w:rFonts w:ascii="Times New Roman" w:hAnsi="Times New Roman" w:cs="Times New Roman"/>
            <w:sz w:val="24"/>
            <w:szCs w:val="24"/>
          </w:rPr>
        </w:pPr>
        <w:r w:rsidRPr="007458B5">
          <w:rPr>
            <w:rFonts w:ascii="Times New Roman" w:hAnsi="Times New Roman" w:cs="Times New Roman"/>
            <w:sz w:val="24"/>
            <w:szCs w:val="24"/>
          </w:rPr>
          <w:t xml:space="preserve">Attachment 2 - </w:t>
        </w:r>
        <w:r w:rsidRPr="007458B5">
          <w:rPr>
            <w:rFonts w:ascii="Times New Roman" w:hAnsi="Times New Roman" w:cs="Times New Roman"/>
            <w:sz w:val="24"/>
            <w:szCs w:val="24"/>
          </w:rPr>
          <w:fldChar w:fldCharType="begin"/>
        </w:r>
        <w:r w:rsidRPr="007458B5">
          <w:rPr>
            <w:rFonts w:ascii="Times New Roman" w:hAnsi="Times New Roman" w:cs="Times New Roman"/>
            <w:sz w:val="24"/>
            <w:szCs w:val="24"/>
          </w:rPr>
          <w:instrText xml:space="preserve"> PAGE   \* MERGEFORMAT </w:instrText>
        </w:r>
        <w:r w:rsidRPr="007458B5">
          <w:rPr>
            <w:rFonts w:ascii="Times New Roman" w:hAnsi="Times New Roman" w:cs="Times New Roman"/>
            <w:sz w:val="24"/>
            <w:szCs w:val="24"/>
          </w:rPr>
          <w:fldChar w:fldCharType="separate"/>
        </w:r>
        <w:r>
          <w:rPr>
            <w:rFonts w:ascii="Times New Roman" w:hAnsi="Times New Roman" w:cs="Times New Roman"/>
            <w:noProof/>
            <w:sz w:val="24"/>
            <w:szCs w:val="24"/>
          </w:rPr>
          <w:t>1</w:t>
        </w:r>
        <w:r w:rsidRPr="007458B5">
          <w:rPr>
            <w:rFonts w:ascii="Times New Roman" w:hAnsi="Times New Roman" w:cs="Times New Roman"/>
            <w:noProof/>
            <w:sz w:val="24"/>
            <w:szCs w:val="24"/>
          </w:rPr>
          <w:fldChar w:fldCharType="end"/>
        </w:r>
      </w:p>
    </w:sdtContent>
  </w:sdt>
  <w:p w:rsidR="007458B5" w:rsidRPr="007458B5" w:rsidRDefault="007458B5" w:rsidP="007458B5">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B5" w:rsidRDefault="007458B5" w:rsidP="007458B5">
      <w:pPr>
        <w:spacing w:after="0" w:line="240" w:lineRule="auto"/>
      </w:pPr>
      <w:r>
        <w:separator/>
      </w:r>
    </w:p>
  </w:footnote>
  <w:footnote w:type="continuationSeparator" w:id="0">
    <w:p w:rsidR="007458B5" w:rsidRDefault="007458B5" w:rsidP="0074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F" w:rsidRDefault="00A3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F" w:rsidRDefault="00A34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CF" w:rsidRDefault="00A34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BD"/>
    <w:rsid w:val="00302126"/>
    <w:rsid w:val="003C32BD"/>
    <w:rsid w:val="007458B5"/>
    <w:rsid w:val="00A3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2BD"/>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B5"/>
    <w:rPr>
      <w:rFonts w:ascii="Calibri" w:eastAsia="Calibri" w:hAnsi="Calibri" w:cs="Calibri"/>
      <w:color w:val="000000"/>
    </w:rPr>
  </w:style>
  <w:style w:type="paragraph" w:styleId="Footer">
    <w:name w:val="footer"/>
    <w:basedOn w:val="Normal"/>
    <w:link w:val="FooterChar"/>
    <w:uiPriority w:val="99"/>
    <w:unhideWhenUsed/>
    <w:rsid w:val="0074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B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2018-07-03T16:10:00Z</dcterms:created>
  <dcterms:modified xsi:type="dcterms:W3CDTF">2018-07-03T16:10:00Z</dcterms:modified>
</cp:coreProperties>
</file>