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0351BF" w14:textId="77777777" w:rsidR="00357C4C" w:rsidRDefault="00357C4C" w:rsidP="00357C4C">
      <w:pPr>
        <w:spacing w:after="0" w:line="240" w:lineRule="auto"/>
        <w:jc w:val="center"/>
        <w:rPr>
          <w:b/>
          <w:szCs w:val="24"/>
        </w:rPr>
      </w:pPr>
    </w:p>
    <w:p w14:paraId="0C63D6DE" w14:textId="77777777" w:rsidR="00357C4C" w:rsidRDefault="00357C4C" w:rsidP="00357C4C">
      <w:pPr>
        <w:spacing w:after="0" w:line="240" w:lineRule="auto"/>
        <w:jc w:val="center"/>
        <w:rPr>
          <w:b/>
          <w:szCs w:val="24"/>
        </w:rPr>
      </w:pPr>
      <w:r w:rsidRPr="00AA0B81">
        <w:rPr>
          <w:b/>
          <w:szCs w:val="24"/>
        </w:rPr>
        <w:t xml:space="preserve">Cooperative Management of </w:t>
      </w:r>
      <w:r>
        <w:rPr>
          <w:b/>
          <w:szCs w:val="24"/>
        </w:rPr>
        <w:t xml:space="preserve">Federal Waste Mine </w:t>
      </w:r>
      <w:r w:rsidRPr="00AA0B81">
        <w:rPr>
          <w:b/>
          <w:szCs w:val="24"/>
        </w:rPr>
        <w:t>Methane</w:t>
      </w:r>
      <w:r>
        <w:rPr>
          <w:b/>
          <w:szCs w:val="24"/>
        </w:rPr>
        <w:t xml:space="preserve"> (WMM)</w:t>
      </w:r>
      <w:r w:rsidRPr="00AA0B81">
        <w:rPr>
          <w:b/>
          <w:szCs w:val="24"/>
        </w:rPr>
        <w:t xml:space="preserve"> and </w:t>
      </w:r>
      <w:r>
        <w:rPr>
          <w:b/>
          <w:szCs w:val="24"/>
        </w:rPr>
        <w:t>Federal Solid Mineral</w:t>
      </w:r>
      <w:r w:rsidRPr="00AA0B81">
        <w:rPr>
          <w:b/>
          <w:szCs w:val="24"/>
        </w:rPr>
        <w:t xml:space="preserve"> Resources</w:t>
      </w:r>
      <w:r>
        <w:rPr>
          <w:rStyle w:val="FootnoteReference"/>
          <w:b/>
          <w:szCs w:val="24"/>
        </w:rPr>
        <w:footnoteReference w:id="1"/>
      </w:r>
    </w:p>
    <w:p w14:paraId="6D36CB40" w14:textId="77777777" w:rsidR="00357C4C" w:rsidRPr="00AA0B81" w:rsidRDefault="00357C4C" w:rsidP="00357C4C">
      <w:pPr>
        <w:spacing w:after="0" w:line="240" w:lineRule="auto"/>
        <w:jc w:val="center"/>
        <w:rPr>
          <w:b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458"/>
        <w:gridCol w:w="3960"/>
        <w:gridCol w:w="4158"/>
      </w:tblGrid>
      <w:tr w:rsidR="00357C4C" w:rsidRPr="00AA0B81" w14:paraId="6E731D07" w14:textId="77777777" w:rsidTr="00682D82">
        <w:tc>
          <w:tcPr>
            <w:tcW w:w="1458" w:type="dxa"/>
          </w:tcPr>
          <w:p w14:paraId="6A2056D3" w14:textId="77777777" w:rsidR="00357C4C" w:rsidRPr="00AA0B81" w:rsidRDefault="00357C4C" w:rsidP="00682D82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960" w:type="dxa"/>
            <w:shd w:val="pct20" w:color="auto" w:fill="auto"/>
          </w:tcPr>
          <w:p w14:paraId="75AFD12A" w14:textId="77777777" w:rsidR="00357C4C" w:rsidRPr="00AA0B81" w:rsidRDefault="00357C4C" w:rsidP="00682D82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New</w:t>
            </w:r>
            <w:r w:rsidRPr="00AA0B81">
              <w:rPr>
                <w:b/>
                <w:szCs w:val="24"/>
              </w:rPr>
              <w:t xml:space="preserve"> Federal </w:t>
            </w:r>
            <w:r>
              <w:rPr>
                <w:b/>
                <w:szCs w:val="24"/>
              </w:rPr>
              <w:t>Coal or Other Solid Mineral</w:t>
            </w:r>
            <w:r w:rsidRPr="00AA0B81">
              <w:rPr>
                <w:b/>
                <w:szCs w:val="24"/>
              </w:rPr>
              <w:t xml:space="preserve"> Lease </w:t>
            </w:r>
          </w:p>
        </w:tc>
        <w:tc>
          <w:tcPr>
            <w:tcW w:w="4158" w:type="dxa"/>
            <w:shd w:val="pct20" w:color="auto" w:fill="auto"/>
            <w:vAlign w:val="center"/>
          </w:tcPr>
          <w:p w14:paraId="74F82367" w14:textId="77777777" w:rsidR="00357C4C" w:rsidRPr="00AA0B81" w:rsidRDefault="00357C4C" w:rsidP="00682D82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Existing </w:t>
            </w:r>
            <w:r w:rsidRPr="00AA0B81">
              <w:rPr>
                <w:b/>
                <w:szCs w:val="24"/>
              </w:rPr>
              <w:t xml:space="preserve">Federal </w:t>
            </w:r>
            <w:r>
              <w:rPr>
                <w:b/>
                <w:szCs w:val="24"/>
              </w:rPr>
              <w:t>Coal or Other Solid Mineral</w:t>
            </w:r>
            <w:r w:rsidRPr="00AA0B81">
              <w:rPr>
                <w:b/>
                <w:szCs w:val="24"/>
              </w:rPr>
              <w:t xml:space="preserve"> Lease</w:t>
            </w:r>
          </w:p>
        </w:tc>
      </w:tr>
      <w:tr w:rsidR="00357C4C" w:rsidRPr="00AA0B81" w14:paraId="36CE354E" w14:textId="77777777" w:rsidTr="00682D82">
        <w:tc>
          <w:tcPr>
            <w:tcW w:w="1458" w:type="dxa"/>
            <w:shd w:val="pct20" w:color="auto" w:fill="auto"/>
            <w:vAlign w:val="center"/>
          </w:tcPr>
          <w:p w14:paraId="512D8410" w14:textId="77777777" w:rsidR="00357C4C" w:rsidRPr="00AA0B81" w:rsidRDefault="00357C4C" w:rsidP="00682D82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AA0B81">
              <w:rPr>
                <w:b/>
                <w:szCs w:val="24"/>
                <w:u w:val="single"/>
              </w:rPr>
              <w:t>Without</w:t>
            </w:r>
            <w:r w:rsidRPr="00AA0B81">
              <w:rPr>
                <w:b/>
                <w:szCs w:val="24"/>
              </w:rPr>
              <w:t xml:space="preserve"> an Existing Coincident Federal Oil </w:t>
            </w:r>
            <w:r>
              <w:rPr>
                <w:b/>
                <w:szCs w:val="24"/>
              </w:rPr>
              <w:t>and</w:t>
            </w:r>
            <w:r w:rsidRPr="00AA0B81">
              <w:rPr>
                <w:b/>
                <w:szCs w:val="24"/>
              </w:rPr>
              <w:t xml:space="preserve"> Gas Lease</w:t>
            </w:r>
          </w:p>
        </w:tc>
        <w:tc>
          <w:tcPr>
            <w:tcW w:w="3960" w:type="dxa"/>
          </w:tcPr>
          <w:p w14:paraId="5A3030A7" w14:textId="77777777" w:rsidR="00357C4C" w:rsidRDefault="00357C4C" w:rsidP="00682D82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sz w:val="20"/>
                <w:szCs w:val="20"/>
              </w:rPr>
            </w:pPr>
            <w:r w:rsidRPr="00AA0B81">
              <w:rPr>
                <w:sz w:val="20"/>
                <w:szCs w:val="20"/>
              </w:rPr>
              <w:t xml:space="preserve">Include the model </w:t>
            </w:r>
            <w:r>
              <w:rPr>
                <w:sz w:val="20"/>
                <w:szCs w:val="20"/>
              </w:rPr>
              <w:t>WMM</w:t>
            </w:r>
            <w:r w:rsidRPr="00AA0B81">
              <w:rPr>
                <w:sz w:val="20"/>
                <w:szCs w:val="20"/>
              </w:rPr>
              <w:t xml:space="preserve"> recovery a</w:t>
            </w:r>
            <w:r>
              <w:rPr>
                <w:sz w:val="20"/>
                <w:szCs w:val="20"/>
              </w:rPr>
              <w:t>ddenda (attached)</w:t>
            </w:r>
            <w:r w:rsidRPr="00AA0B8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in</w:t>
            </w:r>
            <w:r w:rsidRPr="00AA0B81">
              <w:rPr>
                <w:sz w:val="20"/>
                <w:szCs w:val="20"/>
              </w:rPr>
              <w:t xml:space="preserve"> new </w:t>
            </w:r>
            <w:r>
              <w:rPr>
                <w:sz w:val="20"/>
                <w:szCs w:val="20"/>
              </w:rPr>
              <w:t>F</w:t>
            </w:r>
            <w:r w:rsidRPr="00AA0B81">
              <w:rPr>
                <w:sz w:val="20"/>
                <w:szCs w:val="20"/>
              </w:rPr>
              <w:t xml:space="preserve">ederal </w:t>
            </w:r>
            <w:r>
              <w:rPr>
                <w:sz w:val="20"/>
                <w:szCs w:val="20"/>
              </w:rPr>
              <w:t>coal or other solid mineral</w:t>
            </w:r>
            <w:r w:rsidRPr="00AA0B81">
              <w:rPr>
                <w:sz w:val="20"/>
                <w:szCs w:val="20"/>
              </w:rPr>
              <w:t xml:space="preserve"> leases </w:t>
            </w:r>
            <w:r>
              <w:rPr>
                <w:sz w:val="20"/>
                <w:szCs w:val="20"/>
              </w:rPr>
              <w:t xml:space="preserve">to apply only to </w:t>
            </w:r>
            <w:r w:rsidRPr="00AA0B81">
              <w:rPr>
                <w:sz w:val="20"/>
                <w:szCs w:val="20"/>
              </w:rPr>
              <w:t>area</w:t>
            </w:r>
            <w:r>
              <w:rPr>
                <w:sz w:val="20"/>
                <w:szCs w:val="20"/>
              </w:rPr>
              <w:t>s</w:t>
            </w:r>
            <w:r w:rsidRPr="00AA0B81">
              <w:rPr>
                <w:sz w:val="20"/>
                <w:szCs w:val="20"/>
              </w:rPr>
              <w:t xml:space="preserve"> within the lease boundary where:</w:t>
            </w:r>
          </w:p>
          <w:p w14:paraId="05C76484" w14:textId="77777777" w:rsidR="00357C4C" w:rsidRPr="00AA0B81" w:rsidRDefault="00357C4C" w:rsidP="00682D82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sz w:val="20"/>
                <w:szCs w:val="20"/>
              </w:rPr>
            </w:pPr>
          </w:p>
          <w:p w14:paraId="4D67DA5E" w14:textId="77777777" w:rsidR="00357C4C" w:rsidRDefault="00357C4C" w:rsidP="00357C4C">
            <w:pPr>
              <w:pStyle w:val="ListParagraph"/>
              <w:numPr>
                <w:ilvl w:val="0"/>
                <w:numId w:val="1"/>
              </w:numPr>
              <w:tabs>
                <w:tab w:val="center" w:pos="4680"/>
                <w:tab w:val="right" w:pos="9360"/>
              </w:tabs>
              <w:ind w:left="342" w:hanging="342"/>
              <w:rPr>
                <w:sz w:val="20"/>
                <w:szCs w:val="20"/>
              </w:rPr>
            </w:pPr>
            <w:r w:rsidRPr="00AA0B81">
              <w:rPr>
                <w:sz w:val="20"/>
                <w:szCs w:val="20"/>
              </w:rPr>
              <w:t xml:space="preserve">The United States of </w:t>
            </w:r>
            <w:r>
              <w:rPr>
                <w:sz w:val="20"/>
                <w:szCs w:val="20"/>
              </w:rPr>
              <w:t>America</w:t>
            </w:r>
            <w:r w:rsidRPr="00AA0B81">
              <w:rPr>
                <w:sz w:val="20"/>
                <w:szCs w:val="20"/>
              </w:rPr>
              <w:t xml:space="preserve"> holds fee simple title</w:t>
            </w:r>
            <w:r>
              <w:rPr>
                <w:sz w:val="20"/>
                <w:szCs w:val="20"/>
              </w:rPr>
              <w:t xml:space="preserve"> in the solid and fluid mineral estates</w:t>
            </w:r>
            <w:r w:rsidRPr="00AA0B81">
              <w:rPr>
                <w:sz w:val="20"/>
                <w:szCs w:val="20"/>
              </w:rPr>
              <w:t>,</w:t>
            </w:r>
          </w:p>
          <w:p w14:paraId="24312DC1" w14:textId="77777777" w:rsidR="00357C4C" w:rsidRPr="00AA0B81" w:rsidRDefault="00357C4C" w:rsidP="00357C4C">
            <w:pPr>
              <w:pStyle w:val="ListParagraph"/>
              <w:numPr>
                <w:ilvl w:val="0"/>
                <w:numId w:val="1"/>
              </w:numPr>
              <w:tabs>
                <w:tab w:val="center" w:pos="4680"/>
                <w:tab w:val="right" w:pos="9360"/>
              </w:tabs>
              <w:ind w:left="342" w:hanging="3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WMM is likely to be released from the mine,</w:t>
            </w:r>
            <w:r w:rsidRPr="00AA0B81">
              <w:rPr>
                <w:sz w:val="20"/>
                <w:szCs w:val="20"/>
              </w:rPr>
              <w:t xml:space="preserve"> and</w:t>
            </w:r>
          </w:p>
          <w:p w14:paraId="0DB50448" w14:textId="77777777" w:rsidR="00357C4C" w:rsidRPr="00AA0B81" w:rsidRDefault="00357C4C" w:rsidP="00357C4C">
            <w:pPr>
              <w:pStyle w:val="ListParagraph"/>
              <w:numPr>
                <w:ilvl w:val="0"/>
                <w:numId w:val="1"/>
              </w:numPr>
              <w:tabs>
                <w:tab w:val="center" w:pos="4680"/>
                <w:tab w:val="right" w:pos="9360"/>
              </w:tabs>
              <w:ind w:left="342" w:hanging="342"/>
              <w:rPr>
                <w:sz w:val="20"/>
                <w:szCs w:val="20"/>
                <w:u w:val="single"/>
              </w:rPr>
            </w:pPr>
            <w:r w:rsidRPr="00AA0B81">
              <w:rPr>
                <w:sz w:val="20"/>
                <w:szCs w:val="20"/>
              </w:rPr>
              <w:t>There is no</w:t>
            </w:r>
            <w:r>
              <w:rPr>
                <w:sz w:val="20"/>
                <w:szCs w:val="20"/>
              </w:rPr>
              <w:t xml:space="preserve"> Federal </w:t>
            </w:r>
            <w:r w:rsidRPr="00AA0B81">
              <w:rPr>
                <w:sz w:val="20"/>
                <w:szCs w:val="20"/>
              </w:rPr>
              <w:t xml:space="preserve">oil and gas lease.  </w:t>
            </w:r>
          </w:p>
          <w:p w14:paraId="7471F659" w14:textId="77777777" w:rsidR="00357C4C" w:rsidRPr="00AA0B81" w:rsidRDefault="00357C4C" w:rsidP="00682D82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sz w:val="20"/>
                <w:szCs w:val="20"/>
                <w:u w:val="single"/>
              </w:rPr>
            </w:pPr>
          </w:p>
          <w:p w14:paraId="5304BD60" w14:textId="77777777" w:rsidR="00357C4C" w:rsidRPr="00AA0B81" w:rsidRDefault="00357C4C" w:rsidP="00682D82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sz w:val="20"/>
                <w:szCs w:val="20"/>
                <w:u w:val="single"/>
              </w:rPr>
            </w:pPr>
            <w:r w:rsidRPr="00AA0B81">
              <w:rPr>
                <w:sz w:val="20"/>
                <w:szCs w:val="20"/>
              </w:rPr>
              <w:t xml:space="preserve">The notice of </w:t>
            </w:r>
            <w:r>
              <w:rPr>
                <w:sz w:val="20"/>
                <w:szCs w:val="20"/>
              </w:rPr>
              <w:t>solid mineral</w:t>
            </w:r>
            <w:r w:rsidRPr="00AA0B81">
              <w:rPr>
                <w:sz w:val="20"/>
                <w:szCs w:val="20"/>
              </w:rPr>
              <w:t xml:space="preserve"> lease sale must disclose that a</w:t>
            </w:r>
            <w:r>
              <w:rPr>
                <w:sz w:val="20"/>
                <w:szCs w:val="20"/>
              </w:rPr>
              <w:t>ny</w:t>
            </w:r>
            <w:r w:rsidRPr="00AA0B81">
              <w:rPr>
                <w:sz w:val="20"/>
                <w:szCs w:val="20"/>
              </w:rPr>
              <w:t xml:space="preserve"> lease </w:t>
            </w:r>
            <w:r>
              <w:rPr>
                <w:sz w:val="20"/>
                <w:szCs w:val="20"/>
              </w:rPr>
              <w:t xml:space="preserve">issued as a result of the sale will </w:t>
            </w:r>
            <w:r w:rsidRPr="00AA0B81">
              <w:rPr>
                <w:sz w:val="20"/>
                <w:szCs w:val="20"/>
              </w:rPr>
              <w:t xml:space="preserve">contain a </w:t>
            </w:r>
            <w:r>
              <w:rPr>
                <w:sz w:val="20"/>
                <w:szCs w:val="20"/>
              </w:rPr>
              <w:t>WMM</w:t>
            </w:r>
            <w:r w:rsidRPr="00AA0B81">
              <w:rPr>
                <w:sz w:val="20"/>
                <w:szCs w:val="20"/>
              </w:rPr>
              <w:t xml:space="preserve"> stipulation that requires the capture </w:t>
            </w:r>
            <w:r>
              <w:rPr>
                <w:sz w:val="20"/>
                <w:szCs w:val="20"/>
              </w:rPr>
              <w:t>and/</w:t>
            </w:r>
            <w:r w:rsidRPr="00AA0B81">
              <w:rPr>
                <w:sz w:val="20"/>
                <w:szCs w:val="20"/>
              </w:rPr>
              <w:t xml:space="preserve">or destruction of </w:t>
            </w:r>
            <w:r>
              <w:rPr>
                <w:sz w:val="20"/>
                <w:szCs w:val="20"/>
              </w:rPr>
              <w:t>WMM</w:t>
            </w:r>
            <w:r w:rsidRPr="00AA0B8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released from the mine.</w:t>
            </w:r>
          </w:p>
          <w:p w14:paraId="77E1EE41" w14:textId="77777777" w:rsidR="00357C4C" w:rsidRPr="00AA0B81" w:rsidRDefault="00357C4C" w:rsidP="00682D82">
            <w:pPr>
              <w:spacing w:after="0" w:line="240" w:lineRule="auto"/>
              <w:rPr>
                <w:sz w:val="20"/>
                <w:szCs w:val="20"/>
              </w:rPr>
            </w:pPr>
          </w:p>
          <w:p w14:paraId="317E2069" w14:textId="77777777" w:rsidR="00357C4C" w:rsidRPr="00AA0B81" w:rsidRDefault="00357C4C" w:rsidP="00682D82">
            <w:pPr>
              <w:spacing w:after="0" w:line="240" w:lineRule="auto"/>
              <w:rPr>
                <w:sz w:val="20"/>
                <w:szCs w:val="20"/>
              </w:rPr>
            </w:pPr>
            <w:r w:rsidRPr="00AA0B81">
              <w:rPr>
                <w:sz w:val="20"/>
                <w:szCs w:val="20"/>
              </w:rPr>
              <w:t xml:space="preserve">The </w:t>
            </w:r>
            <w:r>
              <w:rPr>
                <w:sz w:val="20"/>
                <w:szCs w:val="20"/>
              </w:rPr>
              <w:t xml:space="preserve">facilitation of the capture and/or destruction of WMM </w:t>
            </w:r>
            <w:r w:rsidRPr="00AA0B81">
              <w:rPr>
                <w:sz w:val="20"/>
                <w:szCs w:val="20"/>
              </w:rPr>
              <w:t xml:space="preserve">should be </w:t>
            </w:r>
            <w:r>
              <w:rPr>
                <w:sz w:val="20"/>
                <w:szCs w:val="20"/>
              </w:rPr>
              <w:t xml:space="preserve">considered when </w:t>
            </w:r>
            <w:r w:rsidRPr="00AA0B81">
              <w:rPr>
                <w:sz w:val="20"/>
                <w:szCs w:val="20"/>
              </w:rPr>
              <w:t>configur</w:t>
            </w:r>
            <w:r>
              <w:rPr>
                <w:sz w:val="20"/>
                <w:szCs w:val="20"/>
              </w:rPr>
              <w:t>ing lease</w:t>
            </w:r>
            <w:r w:rsidRPr="00AA0B8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boundaries</w:t>
            </w:r>
            <w:r w:rsidRPr="00AA0B81">
              <w:rPr>
                <w:sz w:val="20"/>
                <w:szCs w:val="20"/>
              </w:rPr>
              <w:t>.</w:t>
            </w:r>
          </w:p>
          <w:p w14:paraId="4EAE2C18" w14:textId="77777777" w:rsidR="00357C4C" w:rsidRPr="00AA0B81" w:rsidRDefault="00357C4C" w:rsidP="00682D82">
            <w:pPr>
              <w:spacing w:after="0" w:line="240" w:lineRule="auto"/>
              <w:rPr>
                <w:sz w:val="20"/>
                <w:szCs w:val="20"/>
              </w:rPr>
            </w:pPr>
          </w:p>
          <w:p w14:paraId="0ADE674B" w14:textId="77777777" w:rsidR="00357C4C" w:rsidRPr="00AA0B81" w:rsidRDefault="00357C4C" w:rsidP="00682D8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158" w:type="dxa"/>
          </w:tcPr>
          <w:p w14:paraId="112D622B" w14:textId="77777777" w:rsidR="00357C4C" w:rsidRPr="00AA0B81" w:rsidRDefault="00357C4C" w:rsidP="00682D82">
            <w:pPr>
              <w:spacing w:after="0" w:line="240" w:lineRule="auto"/>
              <w:rPr>
                <w:sz w:val="20"/>
                <w:szCs w:val="20"/>
              </w:rPr>
            </w:pPr>
            <w:r w:rsidRPr="00AA0B81">
              <w:rPr>
                <w:sz w:val="20"/>
                <w:szCs w:val="20"/>
              </w:rPr>
              <w:t xml:space="preserve">Whenever a </w:t>
            </w:r>
            <w:r>
              <w:rPr>
                <w:sz w:val="20"/>
                <w:szCs w:val="20"/>
              </w:rPr>
              <w:t>F</w:t>
            </w:r>
            <w:r w:rsidRPr="00AA0B81">
              <w:rPr>
                <w:sz w:val="20"/>
                <w:szCs w:val="20"/>
              </w:rPr>
              <w:t xml:space="preserve">ederal </w:t>
            </w:r>
            <w:r>
              <w:rPr>
                <w:sz w:val="20"/>
                <w:szCs w:val="20"/>
              </w:rPr>
              <w:t>coal or other solid mineral</w:t>
            </w:r>
            <w:r w:rsidRPr="00AA0B81">
              <w:rPr>
                <w:sz w:val="20"/>
                <w:szCs w:val="20"/>
              </w:rPr>
              <w:t xml:space="preserve"> lessee is agreeable, </w:t>
            </w:r>
            <w:r>
              <w:rPr>
                <w:sz w:val="20"/>
                <w:szCs w:val="20"/>
              </w:rPr>
              <w:t xml:space="preserve">seek to </w:t>
            </w:r>
            <w:r w:rsidRPr="00AA0B81">
              <w:rPr>
                <w:sz w:val="20"/>
                <w:szCs w:val="20"/>
              </w:rPr>
              <w:t xml:space="preserve">negotiate a lease amendment to authorize the capture, beneficial use, or destruction of the </w:t>
            </w:r>
            <w:r>
              <w:rPr>
                <w:sz w:val="20"/>
                <w:szCs w:val="20"/>
              </w:rPr>
              <w:t>WMM</w:t>
            </w:r>
            <w:r w:rsidRPr="00AA0B81">
              <w:rPr>
                <w:sz w:val="20"/>
                <w:szCs w:val="20"/>
              </w:rPr>
              <w:t xml:space="preserve">.  </w:t>
            </w:r>
            <w:r>
              <w:rPr>
                <w:sz w:val="20"/>
                <w:szCs w:val="20"/>
              </w:rPr>
              <w:t xml:space="preserve">Unless the lease has reached a standard readjustment period, </w:t>
            </w:r>
            <w:r w:rsidR="00A718F6">
              <w:rPr>
                <w:sz w:val="20"/>
                <w:szCs w:val="20"/>
              </w:rPr>
              <w:t xml:space="preserve">the </w:t>
            </w:r>
            <w:r>
              <w:rPr>
                <w:sz w:val="20"/>
                <w:szCs w:val="20"/>
              </w:rPr>
              <w:t>BLM cannot amend existing leases unilaterally.  Consequently, they can be amended only through bilateral negotiations between the BLM and the lessee</w:t>
            </w:r>
            <w:r w:rsidRPr="00AA0B81">
              <w:rPr>
                <w:sz w:val="20"/>
                <w:szCs w:val="20"/>
              </w:rPr>
              <w:t xml:space="preserve">.  </w:t>
            </w:r>
            <w:r>
              <w:rPr>
                <w:sz w:val="20"/>
                <w:szCs w:val="20"/>
              </w:rPr>
              <w:t>Sample</w:t>
            </w:r>
            <w:r w:rsidRPr="00AA0B81">
              <w:rPr>
                <w:sz w:val="20"/>
                <w:szCs w:val="20"/>
              </w:rPr>
              <w:t xml:space="preserve"> lease addend</w:t>
            </w:r>
            <w:r>
              <w:rPr>
                <w:sz w:val="20"/>
                <w:szCs w:val="20"/>
              </w:rPr>
              <w:t>a are</w:t>
            </w:r>
            <w:r w:rsidRPr="00AA0B81">
              <w:rPr>
                <w:sz w:val="20"/>
                <w:szCs w:val="20"/>
              </w:rPr>
              <w:t xml:space="preserve"> attached.</w:t>
            </w:r>
          </w:p>
          <w:p w14:paraId="151BCEC3" w14:textId="77777777" w:rsidR="00357C4C" w:rsidRPr="00AA0B81" w:rsidRDefault="00357C4C" w:rsidP="00682D82">
            <w:pPr>
              <w:spacing w:after="0" w:line="240" w:lineRule="auto"/>
              <w:rPr>
                <w:sz w:val="20"/>
                <w:szCs w:val="20"/>
              </w:rPr>
            </w:pPr>
          </w:p>
          <w:p w14:paraId="66D7B8B9" w14:textId="77777777" w:rsidR="00357C4C" w:rsidRPr="00AA0B81" w:rsidRDefault="00357C4C" w:rsidP="00682D82">
            <w:pPr>
              <w:spacing w:after="0" w:line="240" w:lineRule="auto"/>
              <w:rPr>
                <w:sz w:val="20"/>
                <w:szCs w:val="20"/>
              </w:rPr>
            </w:pPr>
            <w:r w:rsidRPr="00AA0B81">
              <w:rPr>
                <w:sz w:val="20"/>
                <w:szCs w:val="20"/>
              </w:rPr>
              <w:t xml:space="preserve">All negotiated lease amendments </w:t>
            </w:r>
            <w:r>
              <w:rPr>
                <w:sz w:val="20"/>
                <w:szCs w:val="20"/>
              </w:rPr>
              <w:t xml:space="preserve">that differ from the sample lease addenda (attached) </w:t>
            </w:r>
            <w:r w:rsidRPr="00AA0B81">
              <w:rPr>
                <w:sz w:val="20"/>
                <w:szCs w:val="20"/>
              </w:rPr>
              <w:t xml:space="preserve">must be reviewed by the Washington Office and the Solicitor’s Office prior to signature by a State Director or designate. </w:t>
            </w:r>
          </w:p>
          <w:p w14:paraId="7CD67FA6" w14:textId="77777777" w:rsidR="00357C4C" w:rsidRPr="00AA0B81" w:rsidRDefault="00357C4C" w:rsidP="00682D82">
            <w:pPr>
              <w:spacing w:after="0" w:line="240" w:lineRule="auto"/>
              <w:rPr>
                <w:sz w:val="20"/>
                <w:szCs w:val="20"/>
              </w:rPr>
            </w:pPr>
          </w:p>
          <w:p w14:paraId="4BEBF977" w14:textId="77777777" w:rsidR="00357C4C" w:rsidRPr="00AA0B81" w:rsidRDefault="00357C4C" w:rsidP="00682D82">
            <w:pPr>
              <w:spacing w:after="0" w:line="240" w:lineRule="auto"/>
              <w:rPr>
                <w:sz w:val="20"/>
                <w:szCs w:val="20"/>
              </w:rPr>
            </w:pPr>
            <w:r w:rsidRPr="00AA0B81">
              <w:rPr>
                <w:sz w:val="20"/>
                <w:szCs w:val="20"/>
              </w:rPr>
              <w:t xml:space="preserve">If there is no negotiated lease amendment </w:t>
            </w:r>
            <w:r>
              <w:rPr>
                <w:sz w:val="20"/>
                <w:szCs w:val="20"/>
              </w:rPr>
              <w:t xml:space="preserve">of this kind </w:t>
            </w:r>
            <w:r w:rsidRPr="00AA0B81">
              <w:rPr>
                <w:sz w:val="20"/>
                <w:szCs w:val="20"/>
              </w:rPr>
              <w:t xml:space="preserve">in place when the </w:t>
            </w:r>
            <w:r>
              <w:rPr>
                <w:sz w:val="20"/>
                <w:szCs w:val="20"/>
              </w:rPr>
              <w:t>F</w:t>
            </w:r>
            <w:r w:rsidRPr="00AA0B81">
              <w:rPr>
                <w:sz w:val="20"/>
                <w:szCs w:val="20"/>
              </w:rPr>
              <w:t xml:space="preserve">ederal </w:t>
            </w:r>
            <w:r>
              <w:rPr>
                <w:sz w:val="20"/>
                <w:szCs w:val="20"/>
              </w:rPr>
              <w:t>coal or other solid mineral</w:t>
            </w:r>
            <w:r w:rsidRPr="00AA0B81">
              <w:rPr>
                <w:sz w:val="20"/>
                <w:szCs w:val="20"/>
              </w:rPr>
              <w:t xml:space="preserve"> lease is next eligible for readjustment, the BLM </w:t>
            </w:r>
            <w:r>
              <w:rPr>
                <w:sz w:val="20"/>
                <w:szCs w:val="20"/>
              </w:rPr>
              <w:t>should</w:t>
            </w:r>
            <w:r w:rsidRPr="00AA0B81">
              <w:rPr>
                <w:sz w:val="20"/>
                <w:szCs w:val="20"/>
              </w:rPr>
              <w:t xml:space="preserve"> include the model lease </w:t>
            </w:r>
            <w:r>
              <w:rPr>
                <w:sz w:val="20"/>
                <w:szCs w:val="20"/>
              </w:rPr>
              <w:t>addendum in the lease at that time</w:t>
            </w:r>
            <w:r w:rsidRPr="00AA0B81">
              <w:rPr>
                <w:sz w:val="20"/>
                <w:szCs w:val="20"/>
              </w:rPr>
              <w:t>.</w:t>
            </w:r>
          </w:p>
        </w:tc>
      </w:tr>
      <w:tr w:rsidR="00357C4C" w:rsidRPr="00AA0B81" w14:paraId="7EE47E42" w14:textId="77777777" w:rsidTr="00682D82">
        <w:tc>
          <w:tcPr>
            <w:tcW w:w="1458" w:type="dxa"/>
            <w:shd w:val="pct20" w:color="auto" w:fill="auto"/>
            <w:vAlign w:val="center"/>
          </w:tcPr>
          <w:p w14:paraId="1FDFBA78" w14:textId="77777777" w:rsidR="00357C4C" w:rsidRPr="00AA0B81" w:rsidRDefault="00357C4C" w:rsidP="00682D82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AA0B81">
              <w:rPr>
                <w:b/>
                <w:szCs w:val="24"/>
                <w:u w:val="single"/>
              </w:rPr>
              <w:t>With</w:t>
            </w:r>
            <w:r w:rsidRPr="00AA0B81">
              <w:rPr>
                <w:b/>
                <w:szCs w:val="24"/>
              </w:rPr>
              <w:t xml:space="preserve"> an Existing Coincident Federal Oil &amp; Gas Lease</w:t>
            </w:r>
          </w:p>
        </w:tc>
        <w:tc>
          <w:tcPr>
            <w:tcW w:w="8118" w:type="dxa"/>
            <w:gridSpan w:val="2"/>
          </w:tcPr>
          <w:p w14:paraId="65014BDB" w14:textId="77777777" w:rsidR="00357C4C" w:rsidRPr="00AA0B81" w:rsidRDefault="00357C4C" w:rsidP="00682D82">
            <w:pPr>
              <w:spacing w:after="0" w:line="240" w:lineRule="auto"/>
              <w:rPr>
                <w:sz w:val="20"/>
                <w:szCs w:val="20"/>
              </w:rPr>
            </w:pPr>
            <w:r w:rsidRPr="00AA0B81">
              <w:rPr>
                <w:sz w:val="20"/>
                <w:szCs w:val="20"/>
              </w:rPr>
              <w:t xml:space="preserve">The BLM </w:t>
            </w:r>
            <w:r>
              <w:rPr>
                <w:sz w:val="20"/>
                <w:szCs w:val="20"/>
              </w:rPr>
              <w:t>should</w:t>
            </w:r>
            <w:r w:rsidRPr="00AA0B81">
              <w:rPr>
                <w:sz w:val="20"/>
                <w:szCs w:val="20"/>
              </w:rPr>
              <w:t xml:space="preserve"> encourage the</w:t>
            </w:r>
            <w:r>
              <w:rPr>
                <w:sz w:val="20"/>
                <w:szCs w:val="20"/>
              </w:rPr>
              <w:t xml:space="preserve"> coal or other</w:t>
            </w:r>
            <w:r w:rsidRPr="00AA0B8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solid mineral</w:t>
            </w:r>
            <w:r w:rsidRPr="00AA0B81">
              <w:rPr>
                <w:sz w:val="20"/>
                <w:szCs w:val="20"/>
              </w:rPr>
              <w:t xml:space="preserve"> lessee and the oil and gas lessee to independently negotiate an agreement for recovery of the </w:t>
            </w:r>
            <w:r>
              <w:rPr>
                <w:sz w:val="20"/>
                <w:szCs w:val="20"/>
              </w:rPr>
              <w:t>WMM</w:t>
            </w:r>
            <w:r w:rsidRPr="00AA0B81">
              <w:rPr>
                <w:sz w:val="20"/>
                <w:szCs w:val="20"/>
              </w:rPr>
              <w:t xml:space="preserve">.  The BLM </w:t>
            </w:r>
            <w:r>
              <w:rPr>
                <w:sz w:val="20"/>
                <w:szCs w:val="20"/>
              </w:rPr>
              <w:t>may</w:t>
            </w:r>
            <w:r w:rsidRPr="00AA0B81">
              <w:rPr>
                <w:sz w:val="20"/>
                <w:szCs w:val="20"/>
              </w:rPr>
              <w:t xml:space="preserve"> offer a royalty rate reduction to the oil and gas lessee as an incentive to recover the methane</w:t>
            </w:r>
            <w:r>
              <w:rPr>
                <w:sz w:val="20"/>
                <w:szCs w:val="20"/>
              </w:rPr>
              <w:t>, i</w:t>
            </w:r>
            <w:r w:rsidRPr="00C60D6B">
              <w:rPr>
                <w:sz w:val="20"/>
                <w:szCs w:val="20"/>
              </w:rPr>
              <w:t xml:space="preserve">f the BLM finds that a royalty reduction is necessary to encourage the capture, and thereby the greatest ultimate recovery, of the WMM and </w:t>
            </w:r>
            <w:r>
              <w:rPr>
                <w:sz w:val="20"/>
                <w:szCs w:val="20"/>
              </w:rPr>
              <w:t xml:space="preserve">the royalty reduction </w:t>
            </w:r>
            <w:r w:rsidRPr="00C60D6B">
              <w:rPr>
                <w:sz w:val="20"/>
                <w:szCs w:val="20"/>
              </w:rPr>
              <w:t>is in the interest of conserving the WMM</w:t>
            </w:r>
            <w:r w:rsidRPr="00AA0B81">
              <w:rPr>
                <w:sz w:val="20"/>
                <w:szCs w:val="20"/>
              </w:rPr>
              <w:t>.</w:t>
            </w:r>
          </w:p>
          <w:p w14:paraId="7DC80E96" w14:textId="77777777" w:rsidR="00357C4C" w:rsidRPr="00AA0B81" w:rsidRDefault="00357C4C" w:rsidP="00682D82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14:paraId="2D44B17A" w14:textId="1D67409E" w:rsidR="0088483B" w:rsidRDefault="0088483B" w:rsidP="00357C4C">
      <w:bookmarkStart w:id="0" w:name="_GoBack"/>
      <w:bookmarkEnd w:id="0"/>
    </w:p>
    <w:sectPr w:rsidR="0088483B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169D356" w15:done="0"/>
  <w15:commentEx w15:paraId="33DD7E6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A1170E" w14:textId="77777777" w:rsidR="00FD591D" w:rsidRDefault="00FD591D" w:rsidP="00357C4C">
      <w:pPr>
        <w:spacing w:after="0" w:line="240" w:lineRule="auto"/>
      </w:pPr>
      <w:r>
        <w:separator/>
      </w:r>
    </w:p>
  </w:endnote>
  <w:endnote w:type="continuationSeparator" w:id="0">
    <w:p w14:paraId="7EEFBD95" w14:textId="77777777" w:rsidR="00FD591D" w:rsidRDefault="00FD591D" w:rsidP="00357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5FEB62" w14:textId="6C5E3059" w:rsidR="000C7A29" w:rsidRDefault="000C7A29">
    <w:pPr>
      <w:pStyle w:val="Footer"/>
      <w:jc w:val="right"/>
    </w:pPr>
    <w:r>
      <w:t>Attachment 3-</w:t>
    </w:r>
    <w:sdt>
      <w:sdtPr>
        <w:id w:val="-80030258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  <w:p w14:paraId="6B1F82AA" w14:textId="77777777" w:rsidR="000C7A29" w:rsidRDefault="000C7A2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EAF164" w14:textId="77777777" w:rsidR="00FD591D" w:rsidRDefault="00FD591D" w:rsidP="00357C4C">
      <w:pPr>
        <w:spacing w:after="0" w:line="240" w:lineRule="auto"/>
      </w:pPr>
      <w:r>
        <w:separator/>
      </w:r>
    </w:p>
  </w:footnote>
  <w:footnote w:type="continuationSeparator" w:id="0">
    <w:p w14:paraId="423C5523" w14:textId="77777777" w:rsidR="00FD591D" w:rsidRDefault="00FD591D" w:rsidP="00357C4C">
      <w:pPr>
        <w:spacing w:after="0" w:line="240" w:lineRule="auto"/>
      </w:pPr>
      <w:r>
        <w:continuationSeparator/>
      </w:r>
    </w:p>
  </w:footnote>
  <w:footnote w:id="1">
    <w:p w14:paraId="5F0AC7BF" w14:textId="77777777" w:rsidR="00357C4C" w:rsidRDefault="00357C4C" w:rsidP="00357C4C">
      <w:pPr>
        <w:pStyle w:val="FootnoteText"/>
      </w:pPr>
      <w:r>
        <w:rPr>
          <w:rStyle w:val="FootnoteReference"/>
        </w:rPr>
        <w:footnoteRef/>
      </w:r>
      <w:r>
        <w:t xml:space="preserve"> Please note that this chart applies only when the United States owns the both the solid and fluid mineral estates.  If there is a split mineral estate (i.e., a state or private party owns the oil and gas estate), this chart does not apply.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73C9E"/>
    <w:multiLevelType w:val="hybridMultilevel"/>
    <w:tmpl w:val="7C786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 b">
    <w15:presenceInfo w15:providerId="Windows Live" w15:userId="fead66f8f6b50fd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markup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C4C"/>
    <w:rsid w:val="000C7A29"/>
    <w:rsid w:val="002A4240"/>
    <w:rsid w:val="00357C4C"/>
    <w:rsid w:val="0088483B"/>
    <w:rsid w:val="008C178F"/>
    <w:rsid w:val="00A13A7F"/>
    <w:rsid w:val="00A718F6"/>
    <w:rsid w:val="00D14A01"/>
    <w:rsid w:val="00E17D3A"/>
    <w:rsid w:val="00E57BA1"/>
    <w:rsid w:val="00F86BCC"/>
    <w:rsid w:val="00F96832"/>
    <w:rsid w:val="00FD5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F3BA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7C4C"/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7C4C"/>
    <w:pPr>
      <w:spacing w:after="0" w:line="240" w:lineRule="auto"/>
      <w:ind w:left="720"/>
      <w:contextualSpacing/>
    </w:pPr>
    <w:rPr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357C4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7C4C"/>
    <w:rPr>
      <w:rFonts w:ascii="Times New Roman" w:eastAsia="Calibri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57C4C"/>
    <w:rPr>
      <w:rFonts w:cs="Times New Roman"/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357C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57C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7C4C"/>
    <w:rPr>
      <w:rFonts w:ascii="Times New Roman" w:eastAsia="Calibri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7C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7C4C"/>
    <w:rPr>
      <w:rFonts w:ascii="Tahoma" w:eastAsia="Calibri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7B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7BA1"/>
    <w:rPr>
      <w:rFonts w:ascii="Times New Roman" w:eastAsia="Calibri" w:hAnsi="Times New Roman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C7A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7A29"/>
    <w:rPr>
      <w:rFonts w:ascii="Times New Roman" w:eastAsia="Calibri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0C7A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7A29"/>
    <w:rPr>
      <w:rFonts w:ascii="Times New Roman" w:eastAsia="Calibri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7C4C"/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7C4C"/>
    <w:pPr>
      <w:spacing w:after="0" w:line="240" w:lineRule="auto"/>
      <w:ind w:left="720"/>
      <w:contextualSpacing/>
    </w:pPr>
    <w:rPr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357C4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7C4C"/>
    <w:rPr>
      <w:rFonts w:ascii="Times New Roman" w:eastAsia="Calibri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57C4C"/>
    <w:rPr>
      <w:rFonts w:cs="Times New Roman"/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357C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57C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7C4C"/>
    <w:rPr>
      <w:rFonts w:ascii="Times New Roman" w:eastAsia="Calibri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7C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7C4C"/>
    <w:rPr>
      <w:rFonts w:ascii="Tahoma" w:eastAsia="Calibri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7B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7BA1"/>
    <w:rPr>
      <w:rFonts w:ascii="Times New Roman" w:eastAsia="Calibri" w:hAnsi="Times New Roman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C7A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7A29"/>
    <w:rPr>
      <w:rFonts w:ascii="Times New Roman" w:eastAsia="Calibri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0C7A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7A29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Bureau of Land Management</Company>
  <LinksUpToDate>false</LinksUpToDate>
  <CharactersWithSpaces>2299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Radden-Lesage, Bill</dc:creator>
  <cp:lastModifiedBy>Fowler, Ambyr B</cp:lastModifiedBy>
  <cp:revision>2</cp:revision>
  <dcterms:created xsi:type="dcterms:W3CDTF">2017-01-23T19:51:00Z</dcterms:created>
  <dcterms:modified xsi:type="dcterms:W3CDTF">2017-01-23T19:51:00Z</dcterms:modified>
</cp:coreProperties>
</file>