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AF503" w14:textId="77777777" w:rsidR="00D91991" w:rsidRDefault="008F3C80" w:rsidP="00D91991">
      <w:pPr>
        <w:pStyle w:val="NoSpacing"/>
        <w:jc w:val="center"/>
        <w:rPr>
          <w:b/>
        </w:rPr>
      </w:pPr>
      <w:r>
        <w:rPr>
          <w:b/>
        </w:rPr>
        <w:t>Statement of</w:t>
      </w:r>
    </w:p>
    <w:p w14:paraId="38E6538D" w14:textId="28553537" w:rsidR="00D91991" w:rsidRDefault="000E1B3B" w:rsidP="00D91991">
      <w:pPr>
        <w:pStyle w:val="NoSpacing"/>
        <w:jc w:val="center"/>
        <w:rPr>
          <w:b/>
        </w:rPr>
      </w:pPr>
      <w:r>
        <w:rPr>
          <w:b/>
        </w:rPr>
        <w:t xml:space="preserve">Neil </w:t>
      </w:r>
      <w:proofErr w:type="spellStart"/>
      <w:r>
        <w:rPr>
          <w:b/>
        </w:rPr>
        <w:t>Kornze</w:t>
      </w:r>
      <w:proofErr w:type="spellEnd"/>
    </w:p>
    <w:p w14:paraId="77200B6E" w14:textId="67E74410" w:rsidR="006B37DC" w:rsidRDefault="000E1B3B" w:rsidP="00D91991">
      <w:pPr>
        <w:pStyle w:val="NoSpacing"/>
        <w:jc w:val="center"/>
        <w:rPr>
          <w:b/>
        </w:rPr>
      </w:pPr>
      <w:r>
        <w:rPr>
          <w:b/>
        </w:rPr>
        <w:t>Director</w:t>
      </w:r>
    </w:p>
    <w:p w14:paraId="2363788B" w14:textId="77777777" w:rsidR="00D91991" w:rsidRPr="007934EA" w:rsidRDefault="008F3C80" w:rsidP="00D91991">
      <w:pPr>
        <w:pStyle w:val="NoSpacing"/>
        <w:jc w:val="center"/>
        <w:rPr>
          <w:b/>
        </w:rPr>
      </w:pPr>
      <w:r>
        <w:rPr>
          <w:b/>
        </w:rPr>
        <w:t xml:space="preserve">U.S. </w:t>
      </w:r>
      <w:r w:rsidRPr="007934EA">
        <w:rPr>
          <w:b/>
        </w:rPr>
        <w:t>Department of the Interior</w:t>
      </w:r>
      <w:r>
        <w:rPr>
          <w:b/>
        </w:rPr>
        <w:t xml:space="preserve">, </w:t>
      </w:r>
      <w:r w:rsidR="00D91991" w:rsidRPr="007934EA">
        <w:rPr>
          <w:b/>
        </w:rPr>
        <w:t>Bureau of Land Management</w:t>
      </w:r>
    </w:p>
    <w:p w14:paraId="3A143075" w14:textId="77777777" w:rsidR="00D91991" w:rsidRPr="007934EA" w:rsidRDefault="008F3C80" w:rsidP="00D91991">
      <w:pPr>
        <w:jc w:val="center"/>
        <w:rPr>
          <w:b/>
        </w:rPr>
      </w:pPr>
      <w:bookmarkStart w:id="0" w:name="_GoBack"/>
      <w:r>
        <w:rPr>
          <w:b/>
        </w:rPr>
        <w:t xml:space="preserve">Senate Energy </w:t>
      </w:r>
      <w:r w:rsidR="00401FC5">
        <w:rPr>
          <w:b/>
        </w:rPr>
        <w:t>and</w:t>
      </w:r>
      <w:r>
        <w:rPr>
          <w:b/>
        </w:rPr>
        <w:t xml:space="preserve"> </w:t>
      </w:r>
      <w:r w:rsidR="00D91991" w:rsidRPr="007934EA">
        <w:rPr>
          <w:b/>
        </w:rPr>
        <w:t>Natural Resources Committee</w:t>
      </w:r>
      <w:bookmarkEnd w:id="0"/>
    </w:p>
    <w:p w14:paraId="3393C8AE" w14:textId="77777777" w:rsidR="00D91991" w:rsidRPr="007934EA" w:rsidRDefault="008F3C80" w:rsidP="00D91991">
      <w:pPr>
        <w:pStyle w:val="NoSpacing"/>
        <w:jc w:val="center"/>
        <w:rPr>
          <w:b/>
        </w:rPr>
      </w:pPr>
      <w:r w:rsidRPr="008F3C80">
        <w:rPr>
          <w:b/>
        </w:rPr>
        <w:t>S. 3316</w:t>
      </w:r>
      <w:r>
        <w:rPr>
          <w:b/>
        </w:rPr>
        <w:t xml:space="preserve">, </w:t>
      </w:r>
      <w:r w:rsidR="00D91991">
        <w:rPr>
          <w:b/>
        </w:rPr>
        <w:t>Advancing Conservation and Education Act</w:t>
      </w:r>
    </w:p>
    <w:p w14:paraId="47867C53" w14:textId="77777777" w:rsidR="00D91991" w:rsidRPr="007934EA" w:rsidRDefault="008F3C80" w:rsidP="00D91991">
      <w:pPr>
        <w:pStyle w:val="NoSpacing"/>
        <w:jc w:val="center"/>
        <w:rPr>
          <w:b/>
        </w:rPr>
      </w:pPr>
      <w:r>
        <w:rPr>
          <w:b/>
        </w:rPr>
        <w:t>September 22</w:t>
      </w:r>
      <w:r w:rsidR="00D91991" w:rsidRPr="007934EA">
        <w:rPr>
          <w:b/>
        </w:rPr>
        <w:t>, 20</w:t>
      </w:r>
      <w:r w:rsidR="00D91991">
        <w:rPr>
          <w:b/>
        </w:rPr>
        <w:t>1</w:t>
      </w:r>
      <w:r>
        <w:rPr>
          <w:b/>
        </w:rPr>
        <w:t>6</w:t>
      </w:r>
    </w:p>
    <w:p w14:paraId="0D5C5013" w14:textId="77777777" w:rsidR="00D91991" w:rsidRDefault="00D91991" w:rsidP="00D91991"/>
    <w:p w14:paraId="2978AD2A" w14:textId="77777777" w:rsidR="005874ED" w:rsidRPr="00705360" w:rsidRDefault="00D37677" w:rsidP="00D34604">
      <w:proofErr w:type="gramStart"/>
      <w:r w:rsidRPr="00705360">
        <w:t xml:space="preserve">Thank you for the opportunity to testify on </w:t>
      </w:r>
      <w:r w:rsidR="00401FC5" w:rsidRPr="00705360">
        <w:t>S. 3316,</w:t>
      </w:r>
      <w:r w:rsidRPr="00705360">
        <w:t xml:space="preserve"> the Advancing Conservation and Education Act.</w:t>
      </w:r>
      <w:proofErr w:type="gramEnd"/>
      <w:r w:rsidRPr="00705360">
        <w:t xml:space="preserve">  This bill is a serious and thoughtful effort to resolve a long-standing </w:t>
      </w:r>
      <w:r w:rsidR="004A4B13" w:rsidRPr="00705360">
        <w:t>p</w:t>
      </w:r>
      <w:r w:rsidR="00F63693" w:rsidRPr="00705360">
        <w:t xml:space="preserve">roblem </w:t>
      </w:r>
      <w:r w:rsidR="004A4B13" w:rsidRPr="00705360">
        <w:t xml:space="preserve">facing </w:t>
      </w:r>
      <w:r w:rsidR="00EB4035" w:rsidRPr="00705360">
        <w:t>Federal</w:t>
      </w:r>
      <w:r w:rsidR="004A4B13" w:rsidRPr="00705360">
        <w:t xml:space="preserve"> and state land managers </w:t>
      </w:r>
      <w:r w:rsidR="00F63693" w:rsidRPr="00705360">
        <w:t xml:space="preserve">throughout the </w:t>
      </w:r>
      <w:r w:rsidR="007F3DBC" w:rsidRPr="00705360">
        <w:t>W</w:t>
      </w:r>
      <w:r w:rsidR="00F63693" w:rsidRPr="00705360">
        <w:t>est:</w:t>
      </w:r>
      <w:r w:rsidRPr="00705360">
        <w:t xml:space="preserve"> the </w:t>
      </w:r>
      <w:r w:rsidR="004A4B13" w:rsidRPr="00705360">
        <w:t xml:space="preserve">often conflicting needs of </w:t>
      </w:r>
      <w:r w:rsidR="00EB4035" w:rsidRPr="00705360">
        <w:t>Federal</w:t>
      </w:r>
      <w:r w:rsidR="00AA112C" w:rsidRPr="00705360">
        <w:t xml:space="preserve"> agencies </w:t>
      </w:r>
      <w:r w:rsidR="004A4B13" w:rsidRPr="00705360">
        <w:t xml:space="preserve">charged with managing lands designated for conservation purposes and of State agencies charged with meeting differing management mandates.  </w:t>
      </w:r>
      <w:r w:rsidR="00305903" w:rsidRPr="00705360">
        <w:t>T</w:t>
      </w:r>
      <w:r w:rsidR="00AA112C" w:rsidRPr="00705360">
        <w:t xml:space="preserve">oday’s hearing is the </w:t>
      </w:r>
      <w:r w:rsidR="00401FC5" w:rsidRPr="00705360">
        <w:t xml:space="preserve">continuation </w:t>
      </w:r>
      <w:r w:rsidR="00AA112C" w:rsidRPr="00705360">
        <w:t xml:space="preserve">of a process to find common ground toward resolving these challenges.  </w:t>
      </w:r>
      <w:r w:rsidR="00401FC5" w:rsidRPr="00705360">
        <w:t xml:space="preserve">Senators </w:t>
      </w:r>
      <w:r w:rsidR="0007478B" w:rsidRPr="00705360">
        <w:t>Heinrich</w:t>
      </w:r>
      <w:r w:rsidR="00401FC5" w:rsidRPr="00705360">
        <w:t xml:space="preserve"> and </w:t>
      </w:r>
      <w:r w:rsidR="0007478B" w:rsidRPr="00705360">
        <w:t>Flake</w:t>
      </w:r>
      <w:r w:rsidR="00AA112C" w:rsidRPr="00705360">
        <w:t xml:space="preserve"> have demonstrated their commitment to finding a bipartisan and workable solution; the Department of the Interior and the Bureau of Lan</w:t>
      </w:r>
      <w:r w:rsidR="003115A8" w:rsidRPr="00705360">
        <w:t>d Management</w:t>
      </w:r>
      <w:r w:rsidR="00AB0754" w:rsidRPr="00705360">
        <w:t xml:space="preserve"> (BLM)</w:t>
      </w:r>
      <w:r w:rsidR="003115A8" w:rsidRPr="00705360">
        <w:t xml:space="preserve"> pledge to cooperate in reaching that goal.</w:t>
      </w:r>
    </w:p>
    <w:p w14:paraId="1597E9F2" w14:textId="77777777" w:rsidR="00AA112C" w:rsidRPr="00705360" w:rsidRDefault="00AA112C" w:rsidP="00D34604"/>
    <w:p w14:paraId="7FF6998A" w14:textId="77777777" w:rsidR="00AA112C" w:rsidRPr="00705360" w:rsidRDefault="00AA112C" w:rsidP="00D34604">
      <w:pPr>
        <w:rPr>
          <w:b/>
          <w:u w:val="single"/>
        </w:rPr>
      </w:pPr>
      <w:r w:rsidRPr="00705360">
        <w:rPr>
          <w:b/>
          <w:u w:val="single"/>
        </w:rPr>
        <w:t>Background</w:t>
      </w:r>
    </w:p>
    <w:p w14:paraId="326D3EEA" w14:textId="77777777" w:rsidR="00D11CEB" w:rsidRPr="00705360" w:rsidRDefault="004A4B13" w:rsidP="00D34604">
      <w:r w:rsidRPr="00705360">
        <w:t>T</w:t>
      </w:r>
      <w:r w:rsidR="003115A8" w:rsidRPr="00705360">
        <w:t>he lengthy history of America’s westward</w:t>
      </w:r>
      <w:r w:rsidRPr="00705360">
        <w:t xml:space="preserve"> expansion</w:t>
      </w:r>
      <w:r w:rsidR="007F3DBC" w:rsidRPr="00705360">
        <w:t xml:space="preserve"> is complex.  </w:t>
      </w:r>
      <w:r w:rsidR="00483D24" w:rsidRPr="00705360">
        <w:t>Much has been written about t</w:t>
      </w:r>
      <w:r w:rsidR="007F3DBC" w:rsidRPr="00705360">
        <w:t xml:space="preserve">he story of </w:t>
      </w:r>
      <w:r w:rsidR="00AB0754" w:rsidRPr="00705360">
        <w:t>the General Land Office</w:t>
      </w:r>
      <w:r w:rsidR="00D37677" w:rsidRPr="00705360">
        <w:t xml:space="preserve"> </w:t>
      </w:r>
      <w:r w:rsidR="00AB0754" w:rsidRPr="00705360">
        <w:t>and its successor the BLM</w:t>
      </w:r>
      <w:r w:rsidR="00305903" w:rsidRPr="00705360">
        <w:t>,</w:t>
      </w:r>
      <w:r w:rsidR="00ED49D9" w:rsidRPr="00705360">
        <w:t xml:space="preserve"> </w:t>
      </w:r>
      <w:r w:rsidR="00305903" w:rsidRPr="00705360">
        <w:t xml:space="preserve">and </w:t>
      </w:r>
      <w:r w:rsidR="00AB0754" w:rsidRPr="00705360">
        <w:t xml:space="preserve">the disposal of hundreds of millions of acres of public land </w:t>
      </w:r>
      <w:r w:rsidR="00ED49D9" w:rsidRPr="00705360">
        <w:t>through</w:t>
      </w:r>
      <w:r w:rsidR="00AB0754" w:rsidRPr="00705360">
        <w:t xml:space="preserve"> homesteading</w:t>
      </w:r>
      <w:r w:rsidR="00ED49D9" w:rsidRPr="00705360">
        <w:t xml:space="preserve"> and other means.</w:t>
      </w:r>
      <w:r w:rsidR="00AB0754" w:rsidRPr="00705360">
        <w:t xml:space="preserve"> </w:t>
      </w:r>
      <w:r w:rsidR="00ED49D9" w:rsidRPr="00705360">
        <w:t>Ultimately,</w:t>
      </w:r>
      <w:r w:rsidR="001962B7" w:rsidRPr="00705360">
        <w:t xml:space="preserve"> t</w:t>
      </w:r>
      <w:r w:rsidR="00AB0754" w:rsidRPr="00705360">
        <w:t xml:space="preserve">he passage of the </w:t>
      </w:r>
      <w:r w:rsidR="00EB4035" w:rsidRPr="00705360">
        <w:t>Federal</w:t>
      </w:r>
      <w:r w:rsidR="00AB0754" w:rsidRPr="00705360">
        <w:t xml:space="preserve"> Land Policy and Management Act of 1976 (FLPMA)</w:t>
      </w:r>
      <w:r w:rsidR="007F3DBC" w:rsidRPr="00705360">
        <w:t xml:space="preserve"> </w:t>
      </w:r>
      <w:r w:rsidR="00ED49D9" w:rsidRPr="00705360">
        <w:t xml:space="preserve">set a new policy to retain the Federal lands and </w:t>
      </w:r>
      <w:r w:rsidR="007F3DBC" w:rsidRPr="00705360">
        <w:t xml:space="preserve">guides </w:t>
      </w:r>
      <w:r w:rsidR="00ED49D9" w:rsidRPr="00705360">
        <w:t xml:space="preserve">the </w:t>
      </w:r>
      <w:r w:rsidR="007F3DBC" w:rsidRPr="00705360">
        <w:t xml:space="preserve">BLM’s multiple use and sustained yield mandate.  This testimony focuses </w:t>
      </w:r>
      <w:r w:rsidRPr="00705360">
        <w:t>on the situation we find ourselves in today with respect to state trust lands, the challenges tha</w:t>
      </w:r>
      <w:r w:rsidR="002A4600" w:rsidRPr="00705360">
        <w:t>t</w:t>
      </w:r>
      <w:r w:rsidRPr="00705360">
        <w:t xml:space="preserve"> </w:t>
      </w:r>
      <w:r w:rsidR="00D95C52" w:rsidRPr="00705360">
        <w:t xml:space="preserve">it </w:t>
      </w:r>
      <w:r w:rsidRPr="00705360">
        <w:t xml:space="preserve">presents, and the </w:t>
      </w:r>
      <w:r w:rsidR="002A4600" w:rsidRPr="00705360">
        <w:t>opportunities</w:t>
      </w:r>
      <w:r w:rsidRPr="00705360">
        <w:t xml:space="preserve"> we may find to resolve those issues.  </w:t>
      </w:r>
    </w:p>
    <w:p w14:paraId="2413738C" w14:textId="77777777" w:rsidR="002A4600" w:rsidRPr="00705360" w:rsidRDefault="002A4600" w:rsidP="00D34604"/>
    <w:p w14:paraId="194481DA" w14:textId="6F321A0C" w:rsidR="00143ED3" w:rsidRPr="00705360" w:rsidRDefault="008D2E3C" w:rsidP="00D34604">
      <w:r w:rsidRPr="00705360">
        <w:t>T</w:t>
      </w:r>
      <w:r w:rsidR="00D11CEB" w:rsidRPr="00705360">
        <w:t xml:space="preserve">he admission of Ohio into the Union in </w:t>
      </w:r>
      <w:r w:rsidR="00417694" w:rsidRPr="00705360">
        <w:t xml:space="preserve">1803 </w:t>
      </w:r>
      <w:r w:rsidRPr="00705360">
        <w:t xml:space="preserve">marked the beginning of </w:t>
      </w:r>
      <w:r w:rsidR="00D11CEB" w:rsidRPr="00705360">
        <w:t>Congress</w:t>
      </w:r>
      <w:r w:rsidRPr="00705360">
        <w:t xml:space="preserve">ional action to </w:t>
      </w:r>
      <w:r w:rsidR="00D11CEB" w:rsidRPr="00705360">
        <w:t>provid</w:t>
      </w:r>
      <w:r w:rsidRPr="00705360">
        <w:t xml:space="preserve">e </w:t>
      </w:r>
      <w:r w:rsidR="00D11CEB" w:rsidRPr="00705360">
        <w:t xml:space="preserve">land to the </w:t>
      </w:r>
      <w:r w:rsidRPr="00705360">
        <w:t>individual</w:t>
      </w:r>
      <w:r w:rsidR="00D11CEB" w:rsidRPr="00705360">
        <w:t xml:space="preserve"> states </w:t>
      </w:r>
      <w:r w:rsidR="001962B7" w:rsidRPr="00705360">
        <w:t xml:space="preserve">through </w:t>
      </w:r>
      <w:r w:rsidRPr="00705360">
        <w:t>their</w:t>
      </w:r>
      <w:r w:rsidR="00D11CEB" w:rsidRPr="00705360">
        <w:t xml:space="preserve"> Enabling Acts.  Beginning in 1848</w:t>
      </w:r>
      <w:r w:rsidR="00D0141C" w:rsidRPr="00705360">
        <w:t>,</w:t>
      </w:r>
      <w:r w:rsidR="00B41AD2" w:rsidRPr="00705360">
        <w:t xml:space="preserve"> </w:t>
      </w:r>
      <w:r w:rsidRPr="00705360">
        <w:t>new</w:t>
      </w:r>
      <w:r w:rsidR="00D11CEB" w:rsidRPr="00705360">
        <w:t xml:space="preserve"> state</w:t>
      </w:r>
      <w:r w:rsidR="00B41AD2" w:rsidRPr="00705360">
        <w:t xml:space="preserve">s </w:t>
      </w:r>
      <w:r w:rsidR="00641D1E" w:rsidRPr="00705360">
        <w:t xml:space="preserve">tended to </w:t>
      </w:r>
      <w:r w:rsidR="00D11CEB" w:rsidRPr="00705360">
        <w:t>receive two sections of land in each township</w:t>
      </w:r>
      <w:r w:rsidR="00B41AD2" w:rsidRPr="00705360">
        <w:rPr>
          <w:rStyle w:val="FootnoteReference"/>
        </w:rPr>
        <w:footnoteReference w:id="1"/>
      </w:r>
      <w:r w:rsidR="00D11CEB" w:rsidRPr="00705360">
        <w:t xml:space="preserve">, generally sections 16 and 36.  That increased to four sections with the admission of Utah, Arizona, and New Mexico </w:t>
      </w:r>
      <w:r w:rsidR="00B41AD2" w:rsidRPr="00705360">
        <w:t xml:space="preserve">who generally received </w:t>
      </w:r>
      <w:r w:rsidR="00D11CEB" w:rsidRPr="00705360">
        <w:t>sections 2, 16, 32</w:t>
      </w:r>
      <w:r w:rsidR="008D2DE9" w:rsidRPr="00705360">
        <w:t>,</w:t>
      </w:r>
      <w:r w:rsidR="00D11CEB" w:rsidRPr="00705360">
        <w:t xml:space="preserve"> and 36</w:t>
      </w:r>
      <w:r w:rsidR="00B41AD2" w:rsidRPr="00705360">
        <w:t>.  When Alaska entered the Union in 1959</w:t>
      </w:r>
      <w:r w:rsidR="000767BE" w:rsidRPr="00705360">
        <w:t xml:space="preserve"> </w:t>
      </w:r>
      <w:r w:rsidR="003A3F37" w:rsidRPr="00705360">
        <w:t xml:space="preserve">rather than being assigned specific sections, the </w:t>
      </w:r>
      <w:r w:rsidR="00A25289" w:rsidRPr="00705360">
        <w:t xml:space="preserve">provisions of the Alaska Statehood Act entitled the state to select over 103 million acres of </w:t>
      </w:r>
      <w:r w:rsidR="00EB4035" w:rsidRPr="00705360">
        <w:t>Federal</w:t>
      </w:r>
      <w:r w:rsidR="00A25289" w:rsidRPr="00705360">
        <w:t xml:space="preserve"> land.  </w:t>
      </w:r>
      <w:r w:rsidR="003A3F37" w:rsidRPr="00705360">
        <w:t xml:space="preserve">  </w:t>
      </w:r>
      <w:r w:rsidR="00641D1E" w:rsidRPr="00705360">
        <w:t xml:space="preserve">  </w:t>
      </w:r>
    </w:p>
    <w:p w14:paraId="74364050" w14:textId="77777777" w:rsidR="00641D1E" w:rsidRPr="00705360" w:rsidRDefault="00641D1E" w:rsidP="00D34604"/>
    <w:p w14:paraId="604E3F23" w14:textId="2DA2FEBF" w:rsidR="00A712FE" w:rsidRPr="00705360" w:rsidRDefault="00641D1E" w:rsidP="00D34604">
      <w:r w:rsidRPr="00705360">
        <w:t xml:space="preserve">Each of the thirteen states covered by </w:t>
      </w:r>
      <w:r w:rsidR="00401FC5" w:rsidRPr="00705360">
        <w:t xml:space="preserve">S. 3316 </w:t>
      </w:r>
      <w:r w:rsidR="007F3DBC" w:rsidRPr="00705360">
        <w:t xml:space="preserve">– </w:t>
      </w:r>
      <w:r w:rsidRPr="00705360">
        <w:t>Alaska, Arizona, California, Colorado, Idaho, Montana, New Mexico, North Dakota, Oregon, South Dakota,</w:t>
      </w:r>
      <w:r w:rsidR="007F3DBC" w:rsidRPr="00705360">
        <w:t xml:space="preserve"> Utah, Washington, and Wyoming – </w:t>
      </w:r>
      <w:r w:rsidRPr="00705360">
        <w:t>has state laws governing the management of these lands</w:t>
      </w:r>
      <w:r w:rsidR="002A4600" w:rsidRPr="00705360">
        <w:t>.  O</w:t>
      </w:r>
      <w:r w:rsidRPr="00705360">
        <w:t xml:space="preserve">n </w:t>
      </w:r>
      <w:r w:rsidR="00F4320E">
        <w:t xml:space="preserve">the whole they are dedicated to </w:t>
      </w:r>
      <w:r w:rsidRPr="00705360">
        <w:t xml:space="preserve">providing revenue to benefit education and other state </w:t>
      </w:r>
      <w:r w:rsidR="001962B7" w:rsidRPr="00705360">
        <w:t>purposes</w:t>
      </w:r>
      <w:r w:rsidRPr="00705360">
        <w:t xml:space="preserve">.  While the somewhat random disbursement of sections may have seemed logical in the </w:t>
      </w:r>
      <w:r w:rsidR="00A712FE" w:rsidRPr="00705360">
        <w:t>19</w:t>
      </w:r>
      <w:r w:rsidR="00A712FE" w:rsidRPr="00705360">
        <w:rPr>
          <w:vertAlign w:val="superscript"/>
        </w:rPr>
        <w:t>th</w:t>
      </w:r>
      <w:r w:rsidR="00A712FE" w:rsidRPr="00705360">
        <w:t xml:space="preserve"> and 20</w:t>
      </w:r>
      <w:r w:rsidR="00A712FE" w:rsidRPr="00705360">
        <w:rPr>
          <w:vertAlign w:val="superscript"/>
        </w:rPr>
        <w:t>th</w:t>
      </w:r>
      <w:r w:rsidR="00A712FE" w:rsidRPr="00705360">
        <w:t xml:space="preserve"> centuries, today it has given us an ownership pattern of lands that make</w:t>
      </w:r>
      <w:r w:rsidR="00A25289" w:rsidRPr="00705360">
        <w:t>s</w:t>
      </w:r>
      <w:r w:rsidR="00A712FE" w:rsidRPr="00705360">
        <w:t xml:space="preserve"> management difficult and challenging for both </w:t>
      </w:r>
      <w:r w:rsidR="00A712FE" w:rsidRPr="00705360">
        <w:lastRenderedPageBreak/>
        <w:t xml:space="preserve">the states and the </w:t>
      </w:r>
      <w:r w:rsidR="00EB4035" w:rsidRPr="00705360">
        <w:t>Federal</w:t>
      </w:r>
      <w:r w:rsidR="00A712FE" w:rsidRPr="00705360">
        <w:t xml:space="preserve"> government.  These</w:t>
      </w:r>
      <w:r w:rsidR="002A4600" w:rsidRPr="00705360">
        <w:t xml:space="preserve"> ownership</w:t>
      </w:r>
      <w:r w:rsidR="00A712FE" w:rsidRPr="00705360">
        <w:t xml:space="preserve"> patterns can also prove confusing for the m</w:t>
      </w:r>
      <w:r w:rsidR="00A212CB" w:rsidRPr="00705360">
        <w:t>any users of the public lands.</w:t>
      </w:r>
    </w:p>
    <w:p w14:paraId="34D90825" w14:textId="77777777" w:rsidR="00A212CB" w:rsidRPr="00705360" w:rsidRDefault="00A212CB" w:rsidP="00D34604"/>
    <w:p w14:paraId="051A3289" w14:textId="77777777" w:rsidR="004D257F" w:rsidRPr="00705360" w:rsidRDefault="004D257F" w:rsidP="00D34604">
      <w:r w:rsidRPr="00705360">
        <w:t>Today</w:t>
      </w:r>
      <w:r w:rsidR="007F3DBC" w:rsidRPr="00705360">
        <w:t>,</w:t>
      </w:r>
      <w:r w:rsidRPr="00705360">
        <w:t xml:space="preserve"> many of these state sections</w:t>
      </w:r>
      <w:r w:rsidR="007F3DBC" w:rsidRPr="00705360">
        <w:t xml:space="preserve"> – </w:t>
      </w:r>
      <w:r w:rsidR="00566927" w:rsidRPr="00705360">
        <w:t>nearly 3 million acres with over half of those acres in Alaska</w:t>
      </w:r>
      <w:r w:rsidR="007F3DBC" w:rsidRPr="00705360">
        <w:t xml:space="preserve"> –</w:t>
      </w:r>
      <w:r w:rsidRPr="00705360">
        <w:t xml:space="preserve"> lie within conservation units established by Congress and the President.  Among these are state lands within national parks, wildlife refuges, national monuments, </w:t>
      </w:r>
      <w:r w:rsidR="007F3DBC" w:rsidRPr="00705360">
        <w:t>N</w:t>
      </w:r>
      <w:r w:rsidRPr="00705360">
        <w:t xml:space="preserve">ational </w:t>
      </w:r>
      <w:r w:rsidR="007F3DBC" w:rsidRPr="00705360">
        <w:t>C</w:t>
      </w:r>
      <w:r w:rsidRPr="00705360">
        <w:t xml:space="preserve">onservation </w:t>
      </w:r>
      <w:r w:rsidR="007F3DBC" w:rsidRPr="00705360">
        <w:t>A</w:t>
      </w:r>
      <w:r w:rsidRPr="00705360">
        <w:t>reas, and designated wilderness</w:t>
      </w:r>
      <w:r w:rsidR="00696BAD" w:rsidRPr="00705360">
        <w:t xml:space="preserve"> areas</w:t>
      </w:r>
      <w:r w:rsidRPr="00705360">
        <w:t>.</w:t>
      </w:r>
      <w:r w:rsidR="00696BAD" w:rsidRPr="00705360">
        <w:t xml:space="preserve">  While th</w:t>
      </w:r>
      <w:r w:rsidR="008B4E8D" w:rsidRPr="00705360">
        <w:t>e</w:t>
      </w:r>
      <w:r w:rsidR="00696BAD" w:rsidRPr="00705360">
        <w:t xml:space="preserve">se conservation designations only apply to </w:t>
      </w:r>
      <w:r w:rsidR="00EB4035" w:rsidRPr="00705360">
        <w:t>Federal</w:t>
      </w:r>
      <w:r w:rsidR="00696BAD" w:rsidRPr="00705360">
        <w:t xml:space="preserve"> land</w:t>
      </w:r>
      <w:r w:rsidR="008B4E8D" w:rsidRPr="00705360">
        <w:t xml:space="preserve">s within those designated areas, the ability of states to fully </w:t>
      </w:r>
      <w:r w:rsidR="002A4600" w:rsidRPr="00705360">
        <w:t>access</w:t>
      </w:r>
      <w:r w:rsidR="00EB4035" w:rsidRPr="00705360">
        <w:t xml:space="preserve"> or develop</w:t>
      </w:r>
      <w:r w:rsidR="008B4E8D" w:rsidRPr="00705360">
        <w:t xml:space="preserve"> </w:t>
      </w:r>
      <w:r w:rsidR="00ED49D9" w:rsidRPr="00705360">
        <w:t xml:space="preserve">the </w:t>
      </w:r>
      <w:r w:rsidR="008B4E8D" w:rsidRPr="00705360">
        <w:t xml:space="preserve">resources </w:t>
      </w:r>
      <w:r w:rsidR="00ED49D9" w:rsidRPr="00705360">
        <w:t>of these</w:t>
      </w:r>
      <w:r w:rsidR="008B4E8D" w:rsidRPr="00705360">
        <w:t xml:space="preserve"> inholdings may be limited.</w:t>
      </w:r>
    </w:p>
    <w:p w14:paraId="591162FF" w14:textId="77777777" w:rsidR="008B4E8D" w:rsidRPr="00705360" w:rsidRDefault="008B4E8D" w:rsidP="00D34604"/>
    <w:p w14:paraId="0B0FB771" w14:textId="77777777" w:rsidR="00A712FE" w:rsidRPr="00705360" w:rsidRDefault="008B4E8D" w:rsidP="00D34604">
      <w:r w:rsidRPr="00705360">
        <w:t>The BLM has the authority under</w:t>
      </w:r>
      <w:r w:rsidR="003A3F37" w:rsidRPr="00705360">
        <w:t xml:space="preserve"> section 206 of</w:t>
      </w:r>
      <w:r w:rsidRPr="00705360">
        <w:t xml:space="preserve"> FLPMA to </w:t>
      </w:r>
      <w:r w:rsidR="003A3F37" w:rsidRPr="00705360">
        <w:t xml:space="preserve">exchange public land with states or other entities if the Secretary of the Interior “determines that the public interest will be well served by making that exchange.”  </w:t>
      </w:r>
      <w:r w:rsidR="00D12C9F" w:rsidRPr="00705360">
        <w:t xml:space="preserve">Furthermore, </w:t>
      </w:r>
      <w:r w:rsidR="002A4600" w:rsidRPr="00705360">
        <w:t>FLPMA requires that all exchanges be of equally valued lands</w:t>
      </w:r>
      <w:r w:rsidR="00DB2F38" w:rsidRPr="00705360">
        <w:t xml:space="preserve"> </w:t>
      </w:r>
      <w:r w:rsidR="002A4600" w:rsidRPr="00705360">
        <w:t xml:space="preserve">as determined by appraisals conducted according to </w:t>
      </w:r>
      <w:r w:rsidR="0062033C" w:rsidRPr="00705360">
        <w:t xml:space="preserve">the </w:t>
      </w:r>
      <w:r w:rsidR="00EB4035" w:rsidRPr="00705360">
        <w:t>Federal</w:t>
      </w:r>
      <w:r w:rsidR="000C619C" w:rsidRPr="00705360">
        <w:t xml:space="preserve"> Uniform Appraisal Standards.</w:t>
      </w:r>
    </w:p>
    <w:p w14:paraId="74FD259E" w14:textId="77777777" w:rsidR="00FE6232" w:rsidRPr="00705360" w:rsidRDefault="00FE6232" w:rsidP="00D34604"/>
    <w:p w14:paraId="2E9907C0" w14:textId="77777777" w:rsidR="00A712FE" w:rsidRPr="00705360" w:rsidRDefault="00401FC5" w:rsidP="00D34604">
      <w:pPr>
        <w:rPr>
          <w:b/>
          <w:u w:val="single"/>
        </w:rPr>
      </w:pPr>
      <w:r w:rsidRPr="00705360">
        <w:rPr>
          <w:b/>
          <w:u w:val="single"/>
        </w:rPr>
        <w:t>S. 3316</w:t>
      </w:r>
      <w:r w:rsidR="00A712FE" w:rsidRPr="00705360">
        <w:rPr>
          <w:b/>
          <w:u w:val="single"/>
        </w:rPr>
        <w:t>, Advancing Conservation and Education Act</w:t>
      </w:r>
    </w:p>
    <w:p w14:paraId="3FCB1336" w14:textId="77777777" w:rsidR="0063176F" w:rsidRPr="00705360" w:rsidRDefault="00A212CB" w:rsidP="00D34604">
      <w:r w:rsidRPr="00705360">
        <w:t>S. 3316</w:t>
      </w:r>
      <w:r w:rsidR="004D257F" w:rsidRPr="00705360">
        <w:t>, the Advancing Conservation and Education Act, address</w:t>
      </w:r>
      <w:r w:rsidR="0062033C" w:rsidRPr="00705360">
        <w:t>es</w:t>
      </w:r>
      <w:r w:rsidR="004D257F" w:rsidRPr="00705360">
        <w:t xml:space="preserve"> the scattered nature of</w:t>
      </w:r>
      <w:r w:rsidR="001962B7" w:rsidRPr="00705360">
        <w:t xml:space="preserve"> </w:t>
      </w:r>
      <w:r w:rsidR="004D257F" w:rsidRPr="00705360">
        <w:t>s</w:t>
      </w:r>
      <w:r w:rsidR="001962B7" w:rsidRPr="00705360">
        <w:t xml:space="preserve">tate </w:t>
      </w:r>
      <w:r w:rsidR="007F3DBC" w:rsidRPr="00705360">
        <w:t xml:space="preserve">land </w:t>
      </w:r>
      <w:r w:rsidR="001962B7" w:rsidRPr="00705360">
        <w:t>parcels</w:t>
      </w:r>
      <w:r w:rsidR="007F3DBC" w:rsidRPr="00705360">
        <w:t xml:space="preserve"> in 13 western states</w:t>
      </w:r>
      <w:r w:rsidR="001962B7" w:rsidRPr="00705360">
        <w:t xml:space="preserve"> by establishing a new mechanism for the states to relinquish state inholdings within </w:t>
      </w:r>
      <w:r w:rsidR="00EB4035" w:rsidRPr="00705360">
        <w:t>Federal</w:t>
      </w:r>
      <w:r w:rsidR="001962B7" w:rsidRPr="00705360">
        <w:t>ly</w:t>
      </w:r>
      <w:r w:rsidR="007F3DBC" w:rsidRPr="00705360">
        <w:t>-</w:t>
      </w:r>
      <w:r w:rsidR="001962B7" w:rsidRPr="00705360">
        <w:t>designated conservation units and then allowing the states to</w:t>
      </w:r>
      <w:r w:rsidR="00556F24" w:rsidRPr="00705360">
        <w:t xml:space="preserve"> subsequently</w:t>
      </w:r>
      <w:r w:rsidR="001962B7" w:rsidRPr="00705360">
        <w:t xml:space="preserve"> select other BLM-administered lands within the states </w:t>
      </w:r>
      <w:r w:rsidR="00043E08" w:rsidRPr="00705360">
        <w:t xml:space="preserve">for acquisition.  </w:t>
      </w:r>
      <w:r w:rsidR="007F3DBC" w:rsidRPr="00705360">
        <w:t>The Department of the Interior</w:t>
      </w:r>
      <w:r w:rsidR="005B2D0F" w:rsidRPr="00705360">
        <w:t xml:space="preserve"> endorse</w:t>
      </w:r>
      <w:r w:rsidR="007F3DBC" w:rsidRPr="00705360">
        <w:t>s</w:t>
      </w:r>
      <w:r w:rsidR="005B2D0F" w:rsidRPr="00705360">
        <w:t xml:space="preserve"> the concept and would like to work with </w:t>
      </w:r>
      <w:r w:rsidRPr="00705360">
        <w:t>Senators Heinrich and Flake and other members of the Com</w:t>
      </w:r>
      <w:r w:rsidR="005B2D0F" w:rsidRPr="00705360">
        <w:t xml:space="preserve">mittee to reach this goal consistent with FLPMA, the National Environmental Policy Act (NEPA), and other important </w:t>
      </w:r>
      <w:r w:rsidR="00556F24" w:rsidRPr="00705360">
        <w:t>resource</w:t>
      </w:r>
      <w:r w:rsidR="005B2D0F" w:rsidRPr="00705360">
        <w:t xml:space="preserve"> </w:t>
      </w:r>
      <w:r w:rsidR="00D0141C" w:rsidRPr="00705360">
        <w:t xml:space="preserve">management </w:t>
      </w:r>
      <w:r w:rsidR="005B2D0F" w:rsidRPr="00705360">
        <w:t xml:space="preserve">laws. </w:t>
      </w:r>
    </w:p>
    <w:p w14:paraId="6CACDCE0" w14:textId="77777777" w:rsidR="0063176F" w:rsidRPr="00705360" w:rsidRDefault="0063176F" w:rsidP="00D34604"/>
    <w:p w14:paraId="3EA26A8C" w14:textId="77777777" w:rsidR="00A25289" w:rsidRPr="00705360" w:rsidRDefault="005B2D0F" w:rsidP="00D34604">
      <w:r w:rsidRPr="00705360">
        <w:t xml:space="preserve">We believe </w:t>
      </w:r>
      <w:r w:rsidR="00D95C52" w:rsidRPr="00705360">
        <w:t xml:space="preserve">that </w:t>
      </w:r>
      <w:r w:rsidRPr="00705360">
        <w:t xml:space="preserve">conversation </w:t>
      </w:r>
      <w:r w:rsidR="00D95C52" w:rsidRPr="00705360">
        <w:t>must</w:t>
      </w:r>
      <w:r w:rsidRPr="00705360">
        <w:t xml:space="preserve"> include not only the Congress, the states, and the BLM, but also tribal and local governments, user gr</w:t>
      </w:r>
      <w:r w:rsidR="00A212CB" w:rsidRPr="00705360">
        <w:t xml:space="preserve">oups, and the public at large.  </w:t>
      </w:r>
      <w:r w:rsidR="0063176F" w:rsidRPr="00705360">
        <w:t xml:space="preserve">While there </w:t>
      </w:r>
      <w:r w:rsidR="004F67D8" w:rsidRPr="00705360">
        <w:t xml:space="preserve">are </w:t>
      </w:r>
      <w:r w:rsidR="00E20F11" w:rsidRPr="00705360">
        <w:t xml:space="preserve">still </w:t>
      </w:r>
      <w:r w:rsidR="004F67D8" w:rsidRPr="00705360">
        <w:t xml:space="preserve">a number of </w:t>
      </w:r>
      <w:r w:rsidR="007F3DBC" w:rsidRPr="00705360">
        <w:t>significant</w:t>
      </w:r>
      <w:r w:rsidR="004F67D8" w:rsidRPr="00705360">
        <w:t xml:space="preserve"> issues that will need to be explored, </w:t>
      </w:r>
      <w:r w:rsidR="00556F24" w:rsidRPr="00705360">
        <w:t xml:space="preserve">clarified, and </w:t>
      </w:r>
      <w:r w:rsidR="004F67D8" w:rsidRPr="00705360">
        <w:t>resolved</w:t>
      </w:r>
      <w:r w:rsidR="00556F24" w:rsidRPr="00705360">
        <w:t xml:space="preserve"> </w:t>
      </w:r>
      <w:r w:rsidR="004F67D8" w:rsidRPr="00705360">
        <w:t>in order to reach consensus on a way forward</w:t>
      </w:r>
      <w:r w:rsidR="0063176F" w:rsidRPr="00705360">
        <w:t xml:space="preserve">, the Department </w:t>
      </w:r>
      <w:r w:rsidR="00683CE7" w:rsidRPr="00705360">
        <w:t xml:space="preserve">generally </w:t>
      </w:r>
      <w:r w:rsidR="0063176F" w:rsidRPr="00705360">
        <w:t xml:space="preserve">appreciates several </w:t>
      </w:r>
      <w:r w:rsidR="00E20F11" w:rsidRPr="00705360">
        <w:t>major</w:t>
      </w:r>
      <w:r w:rsidR="0063176F" w:rsidRPr="00705360">
        <w:t xml:space="preserve"> improvements Senators Heinrich and Flake have </w:t>
      </w:r>
      <w:r w:rsidR="00E20F11" w:rsidRPr="00705360">
        <w:t>incorporated in</w:t>
      </w:r>
      <w:r w:rsidR="0063176F" w:rsidRPr="00705360">
        <w:t xml:space="preserve"> S. 3316 from a prior </w:t>
      </w:r>
      <w:r w:rsidR="00E20F11" w:rsidRPr="00705360">
        <w:t>version of the</w:t>
      </w:r>
      <w:r w:rsidR="0063176F" w:rsidRPr="00705360">
        <w:t xml:space="preserve"> legislation.</w:t>
      </w:r>
      <w:r w:rsidR="00E20F11" w:rsidRPr="00705360">
        <w:t xml:space="preserve">  For example, we note the addition of provisions regarding the protection of Indian rights and interests</w:t>
      </w:r>
      <w:r w:rsidR="004F67D8" w:rsidRPr="00705360">
        <w:t xml:space="preserve">. </w:t>
      </w:r>
      <w:r w:rsidR="0063176F" w:rsidRPr="00705360">
        <w:t xml:space="preserve"> </w:t>
      </w:r>
      <w:r w:rsidR="004F67D8" w:rsidRPr="00705360">
        <w:t xml:space="preserve"> </w:t>
      </w:r>
      <w:r w:rsidR="007F3DBC" w:rsidRPr="00705360">
        <w:t xml:space="preserve">Following are </w:t>
      </w:r>
      <w:r w:rsidR="004F67D8" w:rsidRPr="00705360">
        <w:t>some major concerns</w:t>
      </w:r>
      <w:r w:rsidR="00556F24" w:rsidRPr="00705360">
        <w:t>,</w:t>
      </w:r>
      <w:r w:rsidR="004F67D8" w:rsidRPr="00705360">
        <w:t xml:space="preserve"> with the understanding that the Administration is continuing its review </w:t>
      </w:r>
      <w:r w:rsidR="00944D7D" w:rsidRPr="00705360">
        <w:t>o</w:t>
      </w:r>
      <w:r w:rsidR="004F67D8" w:rsidRPr="00705360">
        <w:t xml:space="preserve">f this significant piece of legislation.  </w:t>
      </w:r>
    </w:p>
    <w:p w14:paraId="77DE495C" w14:textId="77777777" w:rsidR="004F67D8" w:rsidRPr="00705360" w:rsidRDefault="004F67D8" w:rsidP="00D34604"/>
    <w:p w14:paraId="25B139B9" w14:textId="77777777" w:rsidR="004F67D8" w:rsidRPr="00705360" w:rsidRDefault="004F67D8" w:rsidP="00D34604">
      <w:pPr>
        <w:rPr>
          <w:b/>
          <w:i/>
        </w:rPr>
      </w:pPr>
      <w:r w:rsidRPr="00705360">
        <w:rPr>
          <w:b/>
          <w:i/>
        </w:rPr>
        <w:t>Valuation</w:t>
      </w:r>
      <w:r w:rsidR="00973810" w:rsidRPr="00705360">
        <w:rPr>
          <w:b/>
          <w:i/>
        </w:rPr>
        <w:t xml:space="preserve"> </w:t>
      </w:r>
      <w:r w:rsidR="00B83056" w:rsidRPr="00705360">
        <w:rPr>
          <w:b/>
          <w:i/>
        </w:rPr>
        <w:t>&amp;</w:t>
      </w:r>
      <w:r w:rsidR="00973810" w:rsidRPr="00705360">
        <w:rPr>
          <w:b/>
          <w:i/>
        </w:rPr>
        <w:t xml:space="preserve"> Cost</w:t>
      </w:r>
    </w:p>
    <w:p w14:paraId="1B0025E2" w14:textId="77777777" w:rsidR="004F67D8" w:rsidRPr="00705360" w:rsidRDefault="004F67D8" w:rsidP="00D34604">
      <w:r w:rsidRPr="00705360">
        <w:t xml:space="preserve">Equal value </w:t>
      </w:r>
      <w:r w:rsidR="00043E08" w:rsidRPr="00705360">
        <w:t>land transfers</w:t>
      </w:r>
      <w:r w:rsidRPr="00705360">
        <w:t xml:space="preserve"> must be the cornerstone of a</w:t>
      </w:r>
      <w:r w:rsidR="00C95E03" w:rsidRPr="00705360">
        <w:t xml:space="preserve">ny proposal.  The Administration is committed to continuing its adherence to the Uniform Appraisal Standards for </w:t>
      </w:r>
      <w:r w:rsidR="00EB4035" w:rsidRPr="00705360">
        <w:t>Federal</w:t>
      </w:r>
      <w:r w:rsidR="00C95E03" w:rsidRPr="00705360">
        <w:t xml:space="preserve"> Land Acquisition and Uniform Standards of Professional Appraisal Practice.  While it may be appropriate to consider alternative methods for low</w:t>
      </w:r>
      <w:r w:rsidR="00556F24" w:rsidRPr="00705360">
        <w:t>-</w:t>
      </w:r>
      <w:r w:rsidR="00C95E03" w:rsidRPr="00705360">
        <w:t xml:space="preserve">value parcels as envisioned by the legislation, </w:t>
      </w:r>
      <w:r w:rsidR="00973810" w:rsidRPr="00705360">
        <w:t xml:space="preserve">we believe in general that </w:t>
      </w:r>
      <w:r w:rsidR="00C95E03" w:rsidRPr="00705360">
        <w:t>adhering to existing FLPMA processes</w:t>
      </w:r>
      <w:r w:rsidR="00973810" w:rsidRPr="00705360">
        <w:t xml:space="preserve"> as much as possible is important.  The </w:t>
      </w:r>
      <w:r w:rsidR="00556F24" w:rsidRPr="00705360">
        <w:t xml:space="preserve">provision in </w:t>
      </w:r>
      <w:r w:rsidR="00A212CB" w:rsidRPr="00705360">
        <w:t>S. 3316</w:t>
      </w:r>
      <w:r w:rsidR="00973810" w:rsidRPr="00705360">
        <w:t xml:space="preserve"> </w:t>
      </w:r>
      <w:r w:rsidR="00556F24" w:rsidRPr="00705360">
        <w:t>establishing</w:t>
      </w:r>
      <w:r w:rsidR="00973810" w:rsidRPr="00705360">
        <w:t xml:space="preserve"> ledger accounts is an interesting one that</w:t>
      </w:r>
      <w:r w:rsidR="00556F24" w:rsidRPr="00705360">
        <w:t xml:space="preserve"> merits further exploration.  </w:t>
      </w:r>
      <w:r w:rsidR="00973810" w:rsidRPr="00705360">
        <w:t xml:space="preserve">  </w:t>
      </w:r>
    </w:p>
    <w:p w14:paraId="6FBA0100" w14:textId="77777777" w:rsidR="00973810" w:rsidRPr="00705360" w:rsidRDefault="00973810" w:rsidP="00D34604"/>
    <w:p w14:paraId="276D2773" w14:textId="701E40E2" w:rsidR="00923743" w:rsidRPr="00705360" w:rsidRDefault="00A212CB" w:rsidP="00E22A8D">
      <w:r w:rsidRPr="00705360">
        <w:t xml:space="preserve">The Administration appreciates that </w:t>
      </w:r>
      <w:r w:rsidR="005D509B" w:rsidRPr="00705360">
        <w:t xml:space="preserve">the </w:t>
      </w:r>
      <w:r w:rsidR="00973810" w:rsidRPr="00705360">
        <w:t>costs of</w:t>
      </w:r>
      <w:r w:rsidR="005E358D" w:rsidRPr="00705360">
        <w:t xml:space="preserve"> </w:t>
      </w:r>
      <w:r w:rsidR="005D509B" w:rsidRPr="00705360">
        <w:t>conveyances under the bill</w:t>
      </w:r>
      <w:r w:rsidR="005E358D" w:rsidRPr="00705360">
        <w:t xml:space="preserve"> </w:t>
      </w:r>
      <w:r w:rsidR="005D509B" w:rsidRPr="00705360">
        <w:t xml:space="preserve">would be </w:t>
      </w:r>
      <w:r w:rsidR="00973810" w:rsidRPr="00705360">
        <w:t>split</w:t>
      </w:r>
      <w:r w:rsidR="00556F24" w:rsidRPr="00705360">
        <w:t xml:space="preserve"> equally</w:t>
      </w:r>
      <w:r w:rsidR="00973810" w:rsidRPr="00705360">
        <w:t xml:space="preserve"> between the state and </w:t>
      </w:r>
      <w:r w:rsidR="00EB4035" w:rsidRPr="00705360">
        <w:t>Federal</w:t>
      </w:r>
      <w:r w:rsidR="00973810" w:rsidRPr="00705360">
        <w:t xml:space="preserve"> government.  </w:t>
      </w:r>
      <w:r w:rsidR="00923743" w:rsidRPr="00705360">
        <w:t xml:space="preserve">   </w:t>
      </w:r>
    </w:p>
    <w:p w14:paraId="218F341B" w14:textId="77777777" w:rsidR="003E7709" w:rsidRPr="00705360" w:rsidRDefault="003E7709" w:rsidP="00D34604"/>
    <w:p w14:paraId="0DCEB4AC" w14:textId="77777777" w:rsidR="001D212B" w:rsidRPr="00705360" w:rsidRDefault="001D212B" w:rsidP="00D34604">
      <w:pPr>
        <w:rPr>
          <w:b/>
          <w:i/>
        </w:rPr>
      </w:pPr>
      <w:r w:rsidRPr="00705360">
        <w:rPr>
          <w:b/>
          <w:i/>
        </w:rPr>
        <w:lastRenderedPageBreak/>
        <w:t>Lands Available for Exchange</w:t>
      </w:r>
    </w:p>
    <w:p w14:paraId="4DF5DB30" w14:textId="715CC647" w:rsidR="00944D7D" w:rsidRPr="00705360" w:rsidRDefault="00944D7D" w:rsidP="00D34604">
      <w:r w:rsidRPr="00705360">
        <w:t xml:space="preserve">FLPMA </w:t>
      </w:r>
      <w:r w:rsidR="00556F24" w:rsidRPr="00705360">
        <w:t xml:space="preserve">establishes </w:t>
      </w:r>
      <w:r w:rsidRPr="00705360">
        <w:t>clear</w:t>
      </w:r>
      <w:r w:rsidR="00556F24" w:rsidRPr="00705360">
        <w:t xml:space="preserve"> national</w:t>
      </w:r>
      <w:r w:rsidRPr="00705360">
        <w:t xml:space="preserve"> policy </w:t>
      </w:r>
      <w:r w:rsidR="00556F24" w:rsidRPr="00705360">
        <w:t>t</w:t>
      </w:r>
      <w:r w:rsidRPr="00705360">
        <w:t>hat public lands should generally be retained in public ownership.  However, section 203 of FLPMA allows the BLM to identify lands</w:t>
      </w:r>
      <w:r w:rsidR="00AA2B6E" w:rsidRPr="00705360">
        <w:t xml:space="preserve"> as potentially available </w:t>
      </w:r>
      <w:r w:rsidR="00ED49D9" w:rsidRPr="00705360">
        <w:t xml:space="preserve">for disposal </w:t>
      </w:r>
      <w:r w:rsidR="00556F24" w:rsidRPr="00705360">
        <w:t>that meet specific criteria</w:t>
      </w:r>
      <w:r w:rsidRPr="00705360">
        <w:t xml:space="preserve"> through its land use planning process</w:t>
      </w:r>
      <w:r w:rsidR="00556F24" w:rsidRPr="00705360">
        <w:t xml:space="preserve">.  Such determinations </w:t>
      </w:r>
      <w:r w:rsidRPr="00705360">
        <w:t xml:space="preserve">are made after full public participation and are consistent with all </w:t>
      </w:r>
      <w:r w:rsidR="00A63AAB" w:rsidRPr="00705360">
        <w:t>applicable</w:t>
      </w:r>
      <w:r w:rsidRPr="00705360">
        <w:t xml:space="preserve"> laws.  </w:t>
      </w:r>
      <w:r w:rsidR="00A63AAB" w:rsidRPr="00705360">
        <w:t>Under FLPMA</w:t>
      </w:r>
      <w:r w:rsidR="00D0141C" w:rsidRPr="00705360">
        <w:t>,</w:t>
      </w:r>
      <w:r w:rsidR="00A63AAB" w:rsidRPr="00705360">
        <w:t xml:space="preserve"> d</w:t>
      </w:r>
      <w:r w:rsidRPr="00705360">
        <w:t>isposal of the lands is discretionary and BLM must first consider local conditions and needs.</w:t>
      </w:r>
    </w:p>
    <w:p w14:paraId="6BE69CD2" w14:textId="77777777" w:rsidR="00944D7D" w:rsidRPr="00705360" w:rsidRDefault="00944D7D" w:rsidP="00D34604"/>
    <w:p w14:paraId="091B2312" w14:textId="3A5DF170" w:rsidR="001D212B" w:rsidRPr="00705360" w:rsidRDefault="009F276E" w:rsidP="00D34604">
      <w:r w:rsidRPr="00705360">
        <w:t>S. 3316</w:t>
      </w:r>
      <w:r w:rsidR="001D212B" w:rsidRPr="00705360">
        <w:t xml:space="preserve"> specifies and prioritizes which lands </w:t>
      </w:r>
      <w:r w:rsidR="00D4570C" w:rsidRPr="00705360">
        <w:t xml:space="preserve">the states may </w:t>
      </w:r>
      <w:r w:rsidR="00A63AAB" w:rsidRPr="00705360">
        <w:t xml:space="preserve">relinquish </w:t>
      </w:r>
      <w:r w:rsidR="00D4570C" w:rsidRPr="00705360">
        <w:t>and which lands they may select</w:t>
      </w:r>
      <w:r w:rsidR="00944D7D" w:rsidRPr="00705360">
        <w:t xml:space="preserve">.  The bill </w:t>
      </w:r>
      <w:r w:rsidR="00E9104B" w:rsidRPr="00705360">
        <w:t xml:space="preserve">defines </w:t>
      </w:r>
      <w:r w:rsidR="00944D7D" w:rsidRPr="00705360">
        <w:t>“</w:t>
      </w:r>
      <w:r w:rsidR="002E4D15" w:rsidRPr="00705360">
        <w:t>eligible</w:t>
      </w:r>
      <w:r w:rsidR="00944D7D" w:rsidRPr="00705360">
        <w:t xml:space="preserve"> areas” </w:t>
      </w:r>
      <w:r w:rsidR="00E9104B" w:rsidRPr="00705360">
        <w:t>as Congressionally-</w:t>
      </w:r>
      <w:r w:rsidR="00944D7D" w:rsidRPr="00705360">
        <w:t>designated wilderness</w:t>
      </w:r>
      <w:r w:rsidR="002E4D15" w:rsidRPr="00705360">
        <w:t>;</w:t>
      </w:r>
      <w:r w:rsidR="00944D7D" w:rsidRPr="00705360">
        <w:t xml:space="preserve"> NPS units</w:t>
      </w:r>
      <w:r w:rsidR="002E4D15" w:rsidRPr="00705360">
        <w:t>;</w:t>
      </w:r>
      <w:r w:rsidR="00944D7D" w:rsidRPr="00705360">
        <w:t xml:space="preserve"> units of the National Wildlife Refuge System</w:t>
      </w:r>
      <w:r w:rsidR="002E4D15" w:rsidRPr="00705360">
        <w:t>;</w:t>
      </w:r>
      <w:r w:rsidR="00944D7D" w:rsidRPr="00705360">
        <w:t xml:space="preserve"> lands within </w:t>
      </w:r>
      <w:r w:rsidR="002E4D15" w:rsidRPr="00705360">
        <w:t xml:space="preserve">the </w:t>
      </w:r>
      <w:r w:rsidR="00944D7D" w:rsidRPr="00705360">
        <w:t>BLM</w:t>
      </w:r>
      <w:r w:rsidR="002E4D15" w:rsidRPr="00705360">
        <w:t>’</w:t>
      </w:r>
      <w:r w:rsidR="00E9104B" w:rsidRPr="00705360">
        <w:t>s</w:t>
      </w:r>
      <w:r w:rsidR="00944D7D" w:rsidRPr="00705360">
        <w:t xml:space="preserve"> National Landscape Conservation System</w:t>
      </w:r>
      <w:r w:rsidR="00D0141C" w:rsidRPr="00705360">
        <w:t>,</w:t>
      </w:r>
      <w:r w:rsidR="00944D7D" w:rsidRPr="00705360">
        <w:t xml:space="preserve"> including national monuments, National Conservation Areas, and Wilderness Study Areas</w:t>
      </w:r>
      <w:r w:rsidR="002E4D15" w:rsidRPr="00705360">
        <w:t>;</w:t>
      </w:r>
      <w:r w:rsidR="00944D7D" w:rsidRPr="00705360">
        <w:t xml:space="preserve"> </w:t>
      </w:r>
      <w:r w:rsidR="00E9104B" w:rsidRPr="00705360">
        <w:t>conservation units within the National Forest System</w:t>
      </w:r>
      <w:r w:rsidR="001D7559" w:rsidRPr="00705360">
        <w:t xml:space="preserve">; and areas identified in </w:t>
      </w:r>
      <w:r w:rsidR="002E4D15" w:rsidRPr="00705360">
        <w:t>BLM Resource Management Plan</w:t>
      </w:r>
      <w:r w:rsidR="001D7559" w:rsidRPr="00705360">
        <w:t>s</w:t>
      </w:r>
      <w:r w:rsidR="002E4D15" w:rsidRPr="00705360">
        <w:t xml:space="preserve"> as having wilderness characteristics</w:t>
      </w:r>
      <w:r w:rsidR="00E9104B" w:rsidRPr="00705360">
        <w:t>.  States may relinquish inholdings within these units and select public land</w:t>
      </w:r>
      <w:r w:rsidR="002E4D15" w:rsidRPr="00705360">
        <w:t xml:space="preserve"> </w:t>
      </w:r>
      <w:r w:rsidR="00841BE7" w:rsidRPr="00705360">
        <w:t xml:space="preserve">in other areas </w:t>
      </w:r>
      <w:r w:rsidR="002E4D15" w:rsidRPr="00705360">
        <w:t>to receive in exchange</w:t>
      </w:r>
      <w:r w:rsidR="00E9104B" w:rsidRPr="00705360">
        <w:t xml:space="preserve">.  The BLM and </w:t>
      </w:r>
      <w:r w:rsidR="00A63AAB" w:rsidRPr="00705360">
        <w:t>other land managing</w:t>
      </w:r>
      <w:r w:rsidR="00E9104B" w:rsidRPr="00705360">
        <w:t xml:space="preserve"> agencies</w:t>
      </w:r>
      <w:r w:rsidR="00A63AAB" w:rsidRPr="00705360">
        <w:t xml:space="preserve"> –</w:t>
      </w:r>
      <w:r w:rsidR="00E9104B" w:rsidRPr="00705360">
        <w:t xml:space="preserve"> the NPS, Fish &amp; Wildlife Service, and Forest Service</w:t>
      </w:r>
      <w:r w:rsidR="00A63AAB" w:rsidRPr="00705360">
        <w:t xml:space="preserve"> –</w:t>
      </w:r>
      <w:r w:rsidR="00E9104B" w:rsidRPr="00705360">
        <w:t xml:space="preserve"> welcome the opportunity to consolidate holdings in these special places.  </w:t>
      </w:r>
      <w:r w:rsidR="001D7559" w:rsidRPr="00705360">
        <w:t xml:space="preserve">We appreciate that the “priority areas” for relinquishments under this version of the bill </w:t>
      </w:r>
      <w:r w:rsidR="002C7FEA" w:rsidRPr="00705360">
        <w:t xml:space="preserve">are more inclusive </w:t>
      </w:r>
      <w:r w:rsidR="001D7559" w:rsidRPr="00705360">
        <w:t>than an earlier version on which the BLM testified during the 113</w:t>
      </w:r>
      <w:r w:rsidR="001D7559" w:rsidRPr="00705360">
        <w:rPr>
          <w:vertAlign w:val="superscript"/>
        </w:rPr>
        <w:t>th</w:t>
      </w:r>
      <w:r w:rsidR="001D7559" w:rsidRPr="00705360">
        <w:t xml:space="preserve"> Congress,</w:t>
      </w:r>
      <w:r w:rsidR="00A978D4" w:rsidRPr="00705360">
        <w:t xml:space="preserve"> and we would like to discuss the possibility of adding additional categories of priority areas with the Sponsor and the Committee.</w:t>
      </w:r>
    </w:p>
    <w:p w14:paraId="711D29E6" w14:textId="77777777" w:rsidR="00D4570C" w:rsidRPr="00705360" w:rsidRDefault="00D4570C" w:rsidP="00D34604"/>
    <w:p w14:paraId="06DD5DE2" w14:textId="77777777" w:rsidR="00F114D6" w:rsidRPr="00705360" w:rsidRDefault="009469B6" w:rsidP="00D34604">
      <w:r w:rsidRPr="00705360">
        <w:t>Likewise, we support flexibility on the selecting side with</w:t>
      </w:r>
      <w:r w:rsidR="00E9104B" w:rsidRPr="00705360">
        <w:t>in</w:t>
      </w:r>
      <w:r w:rsidRPr="00705360">
        <w:t xml:space="preserve"> certain parameters.  Focusing on lands</w:t>
      </w:r>
      <w:r w:rsidR="006177BC" w:rsidRPr="00705360">
        <w:t xml:space="preserve"> already</w:t>
      </w:r>
      <w:r w:rsidRPr="00705360">
        <w:t xml:space="preserve"> identified for disposal through the BLM’s land use </w:t>
      </w:r>
      <w:r w:rsidR="00A80318" w:rsidRPr="00705360">
        <w:t xml:space="preserve">planning </w:t>
      </w:r>
      <w:r w:rsidRPr="00705360">
        <w:t xml:space="preserve">process </w:t>
      </w:r>
      <w:r w:rsidR="0097457D" w:rsidRPr="00705360">
        <w:t xml:space="preserve">should be </w:t>
      </w:r>
      <w:r w:rsidRPr="00705360">
        <w:t>a priority.  Additionally</w:t>
      </w:r>
      <w:r w:rsidR="00A63AAB" w:rsidRPr="00705360">
        <w:t>,</w:t>
      </w:r>
      <w:r w:rsidRPr="00705360">
        <w:t xml:space="preserve"> we believe a priority should be placed on exchanging</w:t>
      </w:r>
      <w:r w:rsidR="00E9104B" w:rsidRPr="00705360">
        <w:t xml:space="preserve"> out</w:t>
      </w:r>
      <w:r w:rsidRPr="00705360">
        <w:t xml:space="preserve"> to the state </w:t>
      </w:r>
      <w:r w:rsidR="00E202BE" w:rsidRPr="00705360">
        <w:t xml:space="preserve">unencumbered </w:t>
      </w:r>
      <w:r w:rsidRPr="00705360">
        <w:t>mineral estate</w:t>
      </w:r>
      <w:r w:rsidR="006177BC" w:rsidRPr="00705360">
        <w:t xml:space="preserve"> where the </w:t>
      </w:r>
      <w:r w:rsidR="00ED49D9" w:rsidRPr="00705360">
        <w:t xml:space="preserve">Federal government </w:t>
      </w:r>
      <w:r w:rsidR="006177BC" w:rsidRPr="00705360">
        <w:t>is not the surface landowner</w:t>
      </w:r>
      <w:r w:rsidRPr="00705360">
        <w:t xml:space="preserve">, as well as </w:t>
      </w:r>
      <w:r w:rsidR="00ED49D9" w:rsidRPr="00705360">
        <w:t xml:space="preserve">areas in a </w:t>
      </w:r>
      <w:r w:rsidRPr="00705360">
        <w:t xml:space="preserve">checkerboard </w:t>
      </w:r>
      <w:r w:rsidR="00ED49D9" w:rsidRPr="00705360">
        <w:t xml:space="preserve">land ownership pattern </w:t>
      </w:r>
      <w:r w:rsidRPr="00705360">
        <w:t xml:space="preserve">and </w:t>
      </w:r>
      <w:r w:rsidR="00ED49D9" w:rsidRPr="00705360">
        <w:t xml:space="preserve">Federal lands </w:t>
      </w:r>
      <w:r w:rsidRPr="00705360">
        <w:t xml:space="preserve">interspersed </w:t>
      </w:r>
      <w:r w:rsidR="00ED49D9" w:rsidRPr="00705360">
        <w:t xml:space="preserve">with other </w:t>
      </w:r>
      <w:r w:rsidRPr="00705360">
        <w:t>lands</w:t>
      </w:r>
      <w:r w:rsidR="0097457D" w:rsidRPr="00705360">
        <w:t xml:space="preserve">.  </w:t>
      </w:r>
    </w:p>
    <w:p w14:paraId="75676E5B" w14:textId="77777777" w:rsidR="00F114D6" w:rsidRPr="00705360" w:rsidRDefault="00F114D6" w:rsidP="00D34604"/>
    <w:p w14:paraId="1C018F4C" w14:textId="77777777" w:rsidR="0097457D" w:rsidRPr="00705360" w:rsidRDefault="0097457D" w:rsidP="00D34604">
      <w:r w:rsidRPr="00705360">
        <w:t>While the legislation places certain</w:t>
      </w:r>
      <w:r w:rsidR="006177BC" w:rsidRPr="00705360">
        <w:t xml:space="preserve"> public</w:t>
      </w:r>
      <w:r w:rsidRPr="00705360">
        <w:t xml:space="preserve"> lands off</w:t>
      </w:r>
      <w:r w:rsidR="00A63AAB" w:rsidRPr="00705360">
        <w:t>-</w:t>
      </w:r>
      <w:r w:rsidRPr="00705360">
        <w:t>limits</w:t>
      </w:r>
      <w:r w:rsidR="006177BC" w:rsidRPr="00705360">
        <w:t xml:space="preserve"> for selection</w:t>
      </w:r>
      <w:r w:rsidRPr="00705360">
        <w:t xml:space="preserve">, such as lands within conservation designations and Areas of Critical Environmental Concern, we would like to discuss other lands that we should consider limiting access to for </w:t>
      </w:r>
      <w:r w:rsidR="00A63AAB" w:rsidRPr="00705360">
        <w:t>selection</w:t>
      </w:r>
      <w:r w:rsidRPr="00705360">
        <w:t>.  For example, the BLM has numerous developed recreation sites outside of conservation units</w:t>
      </w:r>
      <w:r w:rsidR="00A63AAB" w:rsidRPr="00705360">
        <w:t>,</w:t>
      </w:r>
      <w:r w:rsidRPr="00705360">
        <w:t xml:space="preserve"> including campgrounds, trailheads, and designated off highway vehicle play areas.  Taxpayer funds </w:t>
      </w:r>
      <w:r w:rsidR="00ED49D9" w:rsidRPr="00705360">
        <w:t xml:space="preserve">and user fees </w:t>
      </w:r>
      <w:r w:rsidRPr="00705360">
        <w:t xml:space="preserve">have been used to develop such sites which often receive high visitation and are popular with the public.   </w:t>
      </w:r>
    </w:p>
    <w:p w14:paraId="02E3225E" w14:textId="77777777" w:rsidR="00F114D6" w:rsidRPr="00705360" w:rsidRDefault="00F114D6" w:rsidP="00D34604"/>
    <w:p w14:paraId="5EAA15C3" w14:textId="499C93C8" w:rsidR="00417694" w:rsidRPr="00705360" w:rsidRDefault="00F114D6" w:rsidP="00D34604">
      <w:r w:rsidRPr="00705360">
        <w:t>The legislation also makes available for potential selection by the states lands with high mineral and energy</w:t>
      </w:r>
      <w:r w:rsidR="009A4AF3" w:rsidRPr="00705360">
        <w:t xml:space="preserve"> development and transmission</w:t>
      </w:r>
      <w:r w:rsidRPr="00705360">
        <w:t xml:space="preserve"> potential.  This </w:t>
      </w:r>
      <w:r w:rsidR="006177BC" w:rsidRPr="00705360">
        <w:t>could</w:t>
      </w:r>
      <w:r w:rsidRPr="00705360">
        <w:t xml:space="preserve"> include lands currently leased for oil and gas development, lands under consideration for future leasing, lands within designated Solar Energy Zones, and lands with existing mining claims.  The appropriateness, cost-effectiveness, </w:t>
      </w:r>
      <w:r w:rsidR="00AB22C5" w:rsidRPr="00705360">
        <w:t xml:space="preserve">and </w:t>
      </w:r>
      <w:r w:rsidRPr="00705360">
        <w:t>viability of transferring ea</w:t>
      </w:r>
      <w:r w:rsidR="00F4320E">
        <w:t>ch of these types of lands need</w:t>
      </w:r>
      <w:r w:rsidRPr="00705360">
        <w:t xml:space="preserve"> to be </w:t>
      </w:r>
      <w:r w:rsidR="00A63AAB" w:rsidRPr="00705360">
        <w:t xml:space="preserve">considered </w:t>
      </w:r>
      <w:r w:rsidRPr="00705360">
        <w:t>carefully</w:t>
      </w:r>
      <w:r w:rsidR="00A63AAB" w:rsidRPr="00705360">
        <w:t xml:space="preserve">.  </w:t>
      </w:r>
      <w:r w:rsidRPr="00705360">
        <w:t xml:space="preserve">For example, the wholesale conversion of </w:t>
      </w:r>
      <w:r w:rsidR="00AB22C5" w:rsidRPr="00705360">
        <w:t>existing</w:t>
      </w:r>
      <w:r w:rsidRPr="00705360">
        <w:t xml:space="preserve"> mining claims to state mining leases </w:t>
      </w:r>
      <w:r w:rsidR="00AB22C5" w:rsidRPr="00705360">
        <w:t>raises any number of issues.  Transferring lands with associated</w:t>
      </w:r>
      <w:r w:rsidR="006A1202" w:rsidRPr="00705360">
        <w:t xml:space="preserve"> or developed</w:t>
      </w:r>
      <w:r w:rsidR="00AB22C5" w:rsidRPr="00705360">
        <w:t xml:space="preserve"> oil and gas mineral estate raises issues of both valuation and protection of valid existing rights.  </w:t>
      </w:r>
      <w:r w:rsidR="00923743" w:rsidRPr="00705360">
        <w:t xml:space="preserve">It also raises </w:t>
      </w:r>
      <w:r w:rsidR="004D5F03" w:rsidRPr="00705360">
        <w:t xml:space="preserve">concerns about </w:t>
      </w:r>
      <w:r w:rsidR="00923743" w:rsidRPr="00705360">
        <w:t xml:space="preserve">potential cost </w:t>
      </w:r>
      <w:r w:rsidR="000E1B3B">
        <w:t xml:space="preserve">and scoring </w:t>
      </w:r>
      <w:r w:rsidR="00923743" w:rsidRPr="00705360">
        <w:t xml:space="preserve">implications </w:t>
      </w:r>
      <w:r w:rsidR="00C61E0C" w:rsidRPr="00705360">
        <w:t xml:space="preserve">of this legislation, </w:t>
      </w:r>
      <w:r w:rsidR="00923743" w:rsidRPr="00705360">
        <w:t>given that these lands</w:t>
      </w:r>
      <w:r w:rsidR="00C61E0C" w:rsidRPr="00705360">
        <w:t xml:space="preserve"> – </w:t>
      </w:r>
      <w:r w:rsidR="00923743" w:rsidRPr="00705360">
        <w:lastRenderedPageBreak/>
        <w:t>and particularly those with existing leases</w:t>
      </w:r>
      <w:r w:rsidR="00C61E0C" w:rsidRPr="00705360">
        <w:t xml:space="preserve"> – </w:t>
      </w:r>
      <w:r w:rsidR="00923743" w:rsidRPr="00705360">
        <w:t>generate revenue to the Federal government</w:t>
      </w:r>
      <w:r w:rsidR="00A21FD2" w:rsidRPr="00705360">
        <w:t xml:space="preserve"> </w:t>
      </w:r>
      <w:r w:rsidR="00C61E0C" w:rsidRPr="00705360">
        <w:t>that is typically assumed</w:t>
      </w:r>
      <w:r w:rsidR="00A21FD2" w:rsidRPr="00705360">
        <w:t xml:space="preserve"> in the Budget baseline</w:t>
      </w:r>
      <w:r w:rsidR="00923743" w:rsidRPr="00705360">
        <w:t xml:space="preserve">.  </w:t>
      </w:r>
    </w:p>
    <w:p w14:paraId="3E11BABA" w14:textId="77777777" w:rsidR="00417694" w:rsidRPr="00705360" w:rsidRDefault="00417694" w:rsidP="00D34604"/>
    <w:p w14:paraId="493536BB" w14:textId="1D75FE5D" w:rsidR="00D55A56" w:rsidRPr="00705360" w:rsidRDefault="00417694" w:rsidP="00D34604">
      <w:r w:rsidRPr="00705360">
        <w:t>Furthermore, t</w:t>
      </w:r>
      <w:r w:rsidR="00AB22C5" w:rsidRPr="00705360">
        <w:t xml:space="preserve">hese and many other issues deserve a </w:t>
      </w:r>
      <w:r w:rsidR="006177BC" w:rsidRPr="00705360">
        <w:t>careful</w:t>
      </w:r>
      <w:r w:rsidR="00AB22C5" w:rsidRPr="00705360">
        <w:t xml:space="preserve"> public </w:t>
      </w:r>
      <w:r w:rsidR="006177BC" w:rsidRPr="00705360">
        <w:t>review</w:t>
      </w:r>
      <w:r w:rsidR="00AB22C5" w:rsidRPr="00705360">
        <w:t xml:space="preserve">. </w:t>
      </w:r>
      <w:r w:rsidR="00841BE7" w:rsidRPr="00705360">
        <w:t>It is important to note that public</w:t>
      </w:r>
      <w:r w:rsidR="001C4996" w:rsidRPr="00705360">
        <w:t xml:space="preserve"> lands</w:t>
      </w:r>
      <w:r w:rsidR="00841BE7" w:rsidRPr="00705360">
        <w:t xml:space="preserve"> selected by the states</w:t>
      </w:r>
      <w:r w:rsidR="001C4996" w:rsidRPr="00705360">
        <w:t xml:space="preserve"> may </w:t>
      </w:r>
      <w:r w:rsidR="00976B49" w:rsidRPr="00705360">
        <w:t xml:space="preserve">already </w:t>
      </w:r>
      <w:r w:rsidR="001C4996" w:rsidRPr="00705360">
        <w:t xml:space="preserve">be </w:t>
      </w:r>
      <w:r w:rsidR="00976B49" w:rsidRPr="00705360">
        <w:t xml:space="preserve">in </w:t>
      </w:r>
      <w:r w:rsidR="001C4996" w:rsidRPr="00705360">
        <w:t>use</w:t>
      </w:r>
      <w:r w:rsidR="00976B49" w:rsidRPr="00705360">
        <w:t xml:space="preserve"> </w:t>
      </w:r>
      <w:r w:rsidR="001C4996" w:rsidRPr="00705360">
        <w:t xml:space="preserve">for a wide variety of </w:t>
      </w:r>
      <w:r w:rsidR="00976B49" w:rsidRPr="00705360">
        <w:t>purpo</w:t>
      </w:r>
      <w:r w:rsidR="001C4996" w:rsidRPr="00705360">
        <w:t>ses</w:t>
      </w:r>
      <w:r w:rsidR="00D0141C" w:rsidRPr="00705360">
        <w:t>,</w:t>
      </w:r>
      <w:r w:rsidR="001C4996" w:rsidRPr="00705360">
        <w:t xml:space="preserve"> including grazing, hunting, fishing, wildlife habitat, and recreation.  Transfer to the state</w:t>
      </w:r>
      <w:r w:rsidR="00841BE7" w:rsidRPr="00705360">
        <w:t>s</w:t>
      </w:r>
      <w:r w:rsidR="001C4996" w:rsidRPr="00705360">
        <w:t xml:space="preserve"> could have consequences for these users</w:t>
      </w:r>
      <w:r w:rsidR="00E9104B" w:rsidRPr="00705360">
        <w:t xml:space="preserve"> and uses</w:t>
      </w:r>
      <w:r w:rsidR="001C4996" w:rsidRPr="00705360">
        <w:t xml:space="preserve">.  Incorporating the state selection process into the BLM’s on-going land use planning process could help to avoid at least some of these conflicts.  </w:t>
      </w:r>
    </w:p>
    <w:p w14:paraId="19817083" w14:textId="77777777" w:rsidR="00171A69" w:rsidRPr="00705360" w:rsidRDefault="00171A69" w:rsidP="00D34604"/>
    <w:p w14:paraId="15C61D7F" w14:textId="77777777" w:rsidR="00171A69" w:rsidRPr="00705360" w:rsidRDefault="00171A69" w:rsidP="00171A69">
      <w:r w:rsidRPr="00705360">
        <w:t xml:space="preserve">The </w:t>
      </w:r>
      <w:r w:rsidR="00202478" w:rsidRPr="00705360">
        <w:t xml:space="preserve">President’s </w:t>
      </w:r>
      <w:r w:rsidRPr="00705360">
        <w:t xml:space="preserve">FY </w:t>
      </w:r>
      <w:r w:rsidR="00841BE7" w:rsidRPr="00705360">
        <w:t xml:space="preserve">2017 </w:t>
      </w:r>
      <w:r w:rsidRPr="00705360">
        <w:t>Budget included a proposal to</w:t>
      </w:r>
      <w:r w:rsidR="002A412F" w:rsidRPr="00705360">
        <w:t xml:space="preserve"> reauthorize the Federal Land Transaction Facilitation Act (FLTFA) which provided the BLM </w:t>
      </w:r>
      <w:r w:rsidR="00856A9D" w:rsidRPr="00705360">
        <w:t xml:space="preserve">with </w:t>
      </w:r>
      <w:r w:rsidR="002A412F" w:rsidRPr="00705360">
        <w:t xml:space="preserve">an important tool </w:t>
      </w:r>
      <w:r w:rsidR="00856A9D" w:rsidRPr="00705360">
        <w:t>to</w:t>
      </w:r>
      <w:r w:rsidRPr="00705360">
        <w:t xml:space="preserve"> facilitat</w:t>
      </w:r>
      <w:r w:rsidR="00856A9D" w:rsidRPr="00705360">
        <w:t>e</w:t>
      </w:r>
      <w:r w:rsidRPr="00705360">
        <w:t xml:space="preserve"> land </w:t>
      </w:r>
      <w:r w:rsidR="00705CA6" w:rsidRPr="00705360">
        <w:t>tenure adjustments</w:t>
      </w:r>
      <w:r w:rsidRPr="00705360">
        <w:t xml:space="preserve">.  </w:t>
      </w:r>
      <w:r w:rsidR="00101312" w:rsidRPr="00705360">
        <w:t xml:space="preserve">FLTFA expired </w:t>
      </w:r>
      <w:r w:rsidR="003D7DB6" w:rsidRPr="00705360">
        <w:t>in 2011.</w:t>
      </w:r>
      <w:r w:rsidR="00101312" w:rsidRPr="00705360">
        <w:t xml:space="preserve">  Reauthorization would </w:t>
      </w:r>
      <w:r w:rsidRPr="00705360">
        <w:t>allow</w:t>
      </w:r>
      <w:r w:rsidR="002A412F" w:rsidRPr="00705360">
        <w:t xml:space="preserve"> the BLM to sell</w:t>
      </w:r>
      <w:r w:rsidRPr="00705360">
        <w:t xml:space="preserve"> lands identified as suitable for disposal in recent land use plans</w:t>
      </w:r>
      <w:r w:rsidR="002A412F" w:rsidRPr="00705360">
        <w:t xml:space="preserve">, and then to use the proceeds from those sales to acquire </w:t>
      </w:r>
      <w:r w:rsidRPr="00705360">
        <w:t>environmentally sensitive lands</w:t>
      </w:r>
      <w:r w:rsidR="00101312" w:rsidRPr="00705360">
        <w:t>,</w:t>
      </w:r>
      <w:r w:rsidR="002A412F" w:rsidRPr="00705360">
        <w:t xml:space="preserve"> including state trust land </w:t>
      </w:r>
      <w:r w:rsidR="00FE6232" w:rsidRPr="00705360">
        <w:t>inholdings</w:t>
      </w:r>
      <w:r w:rsidR="002A412F" w:rsidRPr="00705360">
        <w:t xml:space="preserve">.  We recommend that Congress move to reauthorize FLTFA.  </w:t>
      </w:r>
    </w:p>
    <w:p w14:paraId="6C6644AF" w14:textId="77777777" w:rsidR="00D55A56" w:rsidRPr="00705360" w:rsidRDefault="00D55A56" w:rsidP="00D34604"/>
    <w:p w14:paraId="2A65EC94" w14:textId="77777777" w:rsidR="00944D7D" w:rsidRPr="00705360" w:rsidRDefault="00944D7D" w:rsidP="00D34604">
      <w:pPr>
        <w:rPr>
          <w:b/>
          <w:i/>
        </w:rPr>
      </w:pPr>
      <w:r w:rsidRPr="00705360">
        <w:rPr>
          <w:b/>
          <w:i/>
        </w:rPr>
        <w:t>Timeframes</w:t>
      </w:r>
    </w:p>
    <w:p w14:paraId="2331BF1C" w14:textId="77777777" w:rsidR="00944D7D" w:rsidRPr="00705360" w:rsidRDefault="00794DFB" w:rsidP="000C66A5">
      <w:r w:rsidRPr="00705360">
        <w:t xml:space="preserve">The Administration appreciates that the timeframes included in S. 3316 have been extended from those of an earlier version of this legislation. </w:t>
      </w:r>
      <w:r w:rsidR="00944D7D" w:rsidRPr="00705360">
        <w:t xml:space="preserve">It is important to both the states and the </w:t>
      </w:r>
      <w:r w:rsidR="00EB4035" w:rsidRPr="00705360">
        <w:t>Federal</w:t>
      </w:r>
      <w:r w:rsidR="00944D7D" w:rsidRPr="00705360">
        <w:t xml:space="preserve"> government that </w:t>
      </w:r>
      <w:r w:rsidR="00841BE7" w:rsidRPr="00705360">
        <w:t xml:space="preserve">any </w:t>
      </w:r>
      <w:r w:rsidR="009A4AF3" w:rsidRPr="00705360">
        <w:t>land transfers</w:t>
      </w:r>
      <w:r w:rsidR="00944D7D" w:rsidRPr="00705360">
        <w:t xml:space="preserve"> </w:t>
      </w:r>
      <w:r w:rsidR="00841BE7" w:rsidRPr="00705360">
        <w:t xml:space="preserve">under the bill </w:t>
      </w:r>
      <w:r w:rsidR="00944D7D" w:rsidRPr="00705360">
        <w:t>be undertaken with full public participation</w:t>
      </w:r>
      <w:r w:rsidR="001D4A2E" w:rsidRPr="00705360">
        <w:t xml:space="preserve"> and thoughtful consideration.  </w:t>
      </w:r>
      <w:r w:rsidRPr="00705360">
        <w:t>However, the</w:t>
      </w:r>
      <w:r w:rsidR="00944D7D" w:rsidRPr="00705360">
        <w:t xml:space="preserve"> personnel the BLM would need to</w:t>
      </w:r>
      <w:r w:rsidR="001D4A2E" w:rsidRPr="00705360">
        <w:t xml:space="preserve"> process </w:t>
      </w:r>
      <w:r w:rsidR="00944D7D" w:rsidRPr="00705360">
        <w:t xml:space="preserve">these </w:t>
      </w:r>
      <w:r w:rsidR="009A4AF3" w:rsidRPr="00705360">
        <w:t xml:space="preserve">land transfers </w:t>
      </w:r>
      <w:r w:rsidR="00944D7D" w:rsidRPr="00705360">
        <w:t>are the same personnel currently</w:t>
      </w:r>
      <w:r w:rsidR="001D4A2E" w:rsidRPr="00705360">
        <w:t xml:space="preserve"> employed in a wide</w:t>
      </w:r>
      <w:r w:rsidR="00944D7D" w:rsidRPr="00705360">
        <w:t xml:space="preserve"> variety of other</w:t>
      </w:r>
      <w:r w:rsidR="001D4A2E" w:rsidRPr="00705360">
        <w:t xml:space="preserve"> vital land management issues, </w:t>
      </w:r>
      <w:r w:rsidR="00944D7D" w:rsidRPr="00705360">
        <w:t>including oil and gas leasing</w:t>
      </w:r>
      <w:r w:rsidR="001D4A2E" w:rsidRPr="00705360">
        <w:t xml:space="preserve"> and monitoring</w:t>
      </w:r>
      <w:r w:rsidR="00944D7D" w:rsidRPr="00705360">
        <w:t xml:space="preserve">, </w:t>
      </w:r>
      <w:r w:rsidR="001D4A2E" w:rsidRPr="00705360">
        <w:t xml:space="preserve">as well as processing </w:t>
      </w:r>
      <w:r w:rsidR="00944D7D" w:rsidRPr="00705360">
        <w:t xml:space="preserve">renewable energy </w:t>
      </w:r>
      <w:r w:rsidR="001D4A2E" w:rsidRPr="00705360">
        <w:t xml:space="preserve">and transmission </w:t>
      </w:r>
      <w:r w:rsidR="00944D7D" w:rsidRPr="00705360">
        <w:t xml:space="preserve">rights-of-way </w:t>
      </w:r>
      <w:r w:rsidR="001D4A2E" w:rsidRPr="00705360">
        <w:t>applications</w:t>
      </w:r>
      <w:r w:rsidR="003757FC" w:rsidRPr="00705360">
        <w:t xml:space="preserve">, </w:t>
      </w:r>
      <w:r w:rsidR="00735260" w:rsidRPr="00705360">
        <w:t xml:space="preserve">and </w:t>
      </w:r>
      <w:r w:rsidR="003757FC" w:rsidRPr="00705360">
        <w:t>land use authorizations for community needs</w:t>
      </w:r>
      <w:r w:rsidR="00A63AAB" w:rsidRPr="00705360">
        <w:t xml:space="preserve"> to name just a few</w:t>
      </w:r>
      <w:r w:rsidR="00944D7D" w:rsidRPr="00705360">
        <w:t>.</w:t>
      </w:r>
      <w:r w:rsidR="001D4A2E" w:rsidRPr="00705360">
        <w:t xml:space="preserve">  </w:t>
      </w:r>
      <w:r w:rsidR="00841BE7" w:rsidRPr="00705360">
        <w:t xml:space="preserve">Therefore, the bill’s </w:t>
      </w:r>
      <w:r w:rsidR="00944D7D" w:rsidRPr="00705360">
        <w:t>timeframes will necessarily have consequences for</w:t>
      </w:r>
      <w:r w:rsidR="009A4AF3" w:rsidRPr="00705360">
        <w:t xml:space="preserve"> a wide variety of</w:t>
      </w:r>
      <w:r w:rsidR="00944D7D" w:rsidRPr="00705360">
        <w:t xml:space="preserve"> other users of the public lands.</w:t>
      </w:r>
    </w:p>
    <w:p w14:paraId="467D6ABD" w14:textId="77777777" w:rsidR="00FE6232" w:rsidRPr="00705360" w:rsidRDefault="00FE6232" w:rsidP="00D34604"/>
    <w:p w14:paraId="5474BF22" w14:textId="77777777" w:rsidR="001E547A" w:rsidRPr="00705360" w:rsidRDefault="005E11CD" w:rsidP="00D34604">
      <w:pPr>
        <w:rPr>
          <w:b/>
          <w:i/>
        </w:rPr>
      </w:pPr>
      <w:r w:rsidRPr="00705360">
        <w:rPr>
          <w:b/>
          <w:i/>
        </w:rPr>
        <w:t>State Variations</w:t>
      </w:r>
    </w:p>
    <w:p w14:paraId="1DD55977" w14:textId="77777777" w:rsidR="001E547A" w:rsidRPr="00705360" w:rsidRDefault="00B96F41" w:rsidP="00D34604">
      <w:r w:rsidRPr="00705360">
        <w:t xml:space="preserve">Not surprisingly there are issues to be considered in </w:t>
      </w:r>
      <w:r w:rsidR="00841BE7" w:rsidRPr="00705360">
        <w:t>S. 3316</w:t>
      </w:r>
      <w:r w:rsidRPr="00705360">
        <w:t xml:space="preserve"> that affect </w:t>
      </w:r>
      <w:r w:rsidR="00841BE7" w:rsidRPr="00705360">
        <w:t>individual</w:t>
      </w:r>
      <w:r w:rsidRPr="00705360">
        <w:t xml:space="preserve"> state</w:t>
      </w:r>
      <w:r w:rsidR="00841BE7" w:rsidRPr="00705360">
        <w:t>s differently</w:t>
      </w:r>
      <w:r w:rsidRPr="00705360">
        <w:t xml:space="preserve">.  For example, Arizona’s state constitution requires that state lands may only be </w:t>
      </w:r>
      <w:r w:rsidR="009A4AF3" w:rsidRPr="00705360">
        <w:t xml:space="preserve">disposed of </w:t>
      </w:r>
      <w:r w:rsidR="000C66A5" w:rsidRPr="00705360">
        <w:t>through auction</w:t>
      </w:r>
      <w:r w:rsidRPr="00705360">
        <w:t xml:space="preserve"> to the highest bidder</w:t>
      </w:r>
      <w:r w:rsidR="00FA2332" w:rsidRPr="00705360">
        <w:t xml:space="preserve"> or by </w:t>
      </w:r>
      <w:r w:rsidR="009A4AF3" w:rsidRPr="00705360">
        <w:t>exchange with other governmental entities</w:t>
      </w:r>
      <w:r w:rsidRPr="00705360">
        <w:t xml:space="preserve">.  </w:t>
      </w:r>
      <w:r w:rsidR="006B37DC" w:rsidRPr="00705360">
        <w:t>T</w:t>
      </w:r>
      <w:r w:rsidR="000C66A5" w:rsidRPr="00705360">
        <w:t xml:space="preserve">his bill </w:t>
      </w:r>
      <w:r w:rsidR="006B37DC" w:rsidRPr="00705360">
        <w:t xml:space="preserve">technically </w:t>
      </w:r>
      <w:r w:rsidR="000C66A5" w:rsidRPr="00705360">
        <w:t>does not provide for exchanges, but rather relinquishment and selection</w:t>
      </w:r>
      <w:r w:rsidR="006B37DC" w:rsidRPr="00705360">
        <w:t xml:space="preserve">.  </w:t>
      </w:r>
      <w:r w:rsidRPr="00705360">
        <w:t>In Alaska</w:t>
      </w:r>
      <w:r w:rsidR="00A63AAB" w:rsidRPr="00705360">
        <w:t>,</w:t>
      </w:r>
      <w:r w:rsidRPr="00705360">
        <w:t xml:space="preserve"> the BLM is continuing to fulfill its obligations to transfer millions of acres of mandated entitlements under the Native Allotment Act of 1906, the Alaska Native Claims Settlement Act of 1971, and the Alaska Statehood Act.  </w:t>
      </w:r>
      <w:r w:rsidR="00740B76" w:rsidRPr="00705360">
        <w:t>If passed as currently drafted, S. 3316</w:t>
      </w:r>
      <w:r w:rsidR="00530C2A" w:rsidRPr="00705360">
        <w:t xml:space="preserve"> could have the effect of dramatically slowing the pace of completion of these important entitlements.  </w:t>
      </w:r>
    </w:p>
    <w:p w14:paraId="1CD5E31B" w14:textId="77777777" w:rsidR="00AC73FE" w:rsidRPr="00705360" w:rsidRDefault="00AC73FE" w:rsidP="00D34604"/>
    <w:p w14:paraId="5476311D" w14:textId="77777777" w:rsidR="00AC73FE" w:rsidRPr="00705360" w:rsidRDefault="00AC73FE" w:rsidP="00D34604">
      <w:pPr>
        <w:rPr>
          <w:b/>
          <w:u w:val="single"/>
        </w:rPr>
      </w:pPr>
      <w:r w:rsidRPr="00705360">
        <w:rPr>
          <w:b/>
          <w:u w:val="single"/>
        </w:rPr>
        <w:t>Conclusion</w:t>
      </w:r>
    </w:p>
    <w:p w14:paraId="5547091D" w14:textId="20B65560" w:rsidR="00037473" w:rsidRPr="00705360" w:rsidRDefault="00037473" w:rsidP="00037473">
      <w:r w:rsidRPr="00705360">
        <w:t xml:space="preserve">The Departments of </w:t>
      </w:r>
      <w:r w:rsidR="00417694" w:rsidRPr="00705360">
        <w:t xml:space="preserve">the Interior and </w:t>
      </w:r>
      <w:r w:rsidRPr="00705360">
        <w:t xml:space="preserve">Agriculture commend Senators Heinrich and Flake for the conscientious effort put into this proposal to date.  We recommend continuing a dialogue to develop a solution that protects the interests of all the American people and the individual states.  We hope that today’s hearing is another step of that process and there will be opportunities for future conversation and hearings.  </w:t>
      </w:r>
    </w:p>
    <w:p w14:paraId="213586BD" w14:textId="77777777" w:rsidR="007639D4" w:rsidRPr="00705360" w:rsidRDefault="007639D4" w:rsidP="00037473"/>
    <w:sectPr w:rsidR="007639D4" w:rsidRPr="00705360" w:rsidSect="009C338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8E41F" w14:textId="77777777" w:rsidR="00607DC9" w:rsidRDefault="00607DC9" w:rsidP="00D91991">
      <w:r>
        <w:separator/>
      </w:r>
    </w:p>
  </w:endnote>
  <w:endnote w:type="continuationSeparator" w:id="0">
    <w:p w14:paraId="0BEBF9F1" w14:textId="77777777" w:rsidR="00607DC9" w:rsidRDefault="00607DC9" w:rsidP="00D9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919521"/>
      <w:docPartObj>
        <w:docPartGallery w:val="Page Numbers (Bottom of Page)"/>
        <w:docPartUnique/>
      </w:docPartObj>
    </w:sdtPr>
    <w:sdtEndPr>
      <w:rPr>
        <w:noProof/>
      </w:rPr>
    </w:sdtEndPr>
    <w:sdtContent>
      <w:p w14:paraId="792A6DBD" w14:textId="77777777" w:rsidR="00605288" w:rsidRDefault="00605288">
        <w:pPr>
          <w:pStyle w:val="Footer"/>
          <w:jc w:val="center"/>
        </w:pPr>
        <w:r>
          <w:fldChar w:fldCharType="begin"/>
        </w:r>
        <w:r>
          <w:instrText xml:space="preserve"> PAGE   \* MERGEFORMAT </w:instrText>
        </w:r>
        <w:r>
          <w:fldChar w:fldCharType="separate"/>
        </w:r>
        <w:r w:rsidR="004F3028">
          <w:rPr>
            <w:noProof/>
          </w:rPr>
          <w:t>1</w:t>
        </w:r>
        <w:r>
          <w:rPr>
            <w:noProof/>
          </w:rPr>
          <w:fldChar w:fldCharType="end"/>
        </w:r>
      </w:p>
    </w:sdtContent>
  </w:sdt>
  <w:p w14:paraId="6BC0D4B5" w14:textId="77777777" w:rsidR="00605288" w:rsidRDefault="00605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1DEEB" w14:textId="77777777" w:rsidR="00607DC9" w:rsidRDefault="00607DC9" w:rsidP="00D91991">
      <w:r>
        <w:separator/>
      </w:r>
    </w:p>
  </w:footnote>
  <w:footnote w:type="continuationSeparator" w:id="0">
    <w:p w14:paraId="2F0DA172" w14:textId="77777777" w:rsidR="00607DC9" w:rsidRDefault="00607DC9" w:rsidP="00D91991">
      <w:r>
        <w:continuationSeparator/>
      </w:r>
    </w:p>
  </w:footnote>
  <w:footnote w:id="1">
    <w:p w14:paraId="4DD063EA" w14:textId="77777777" w:rsidR="00B41AD2" w:rsidRDefault="00B41AD2" w:rsidP="00B41AD2">
      <w:r>
        <w:rPr>
          <w:rStyle w:val="FootnoteReference"/>
        </w:rPr>
        <w:footnoteRef/>
      </w:r>
      <w:r>
        <w:t xml:space="preserve"> The rectangular survey system was established by the Land Ordinance of 1785.  It established a system of townships made up of 36 individual sections measuring one square mile.  Each section is made up of 640 acres. </w:t>
      </w:r>
    </w:p>
    <w:p w14:paraId="4E95DE66" w14:textId="77777777" w:rsidR="00B41AD2" w:rsidRDefault="00B41AD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14525"/>
    <w:multiLevelType w:val="hybridMultilevel"/>
    <w:tmpl w:val="9F6CA3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991"/>
    <w:rsid w:val="0003568D"/>
    <w:rsid w:val="00037473"/>
    <w:rsid w:val="00043E08"/>
    <w:rsid w:val="0007478B"/>
    <w:rsid w:val="000767BE"/>
    <w:rsid w:val="000A0699"/>
    <w:rsid w:val="000C619C"/>
    <w:rsid w:val="000C66A5"/>
    <w:rsid w:val="000E1B3B"/>
    <w:rsid w:val="000E578C"/>
    <w:rsid w:val="00101312"/>
    <w:rsid w:val="00117BA9"/>
    <w:rsid w:val="0012635E"/>
    <w:rsid w:val="0014296F"/>
    <w:rsid w:val="00143ED3"/>
    <w:rsid w:val="00171A69"/>
    <w:rsid w:val="00172CFF"/>
    <w:rsid w:val="00191FF8"/>
    <w:rsid w:val="001962B7"/>
    <w:rsid w:val="001A2359"/>
    <w:rsid w:val="001C4996"/>
    <w:rsid w:val="001D212B"/>
    <w:rsid w:val="001D4A2E"/>
    <w:rsid w:val="001D7559"/>
    <w:rsid w:val="001E306B"/>
    <w:rsid w:val="001E547A"/>
    <w:rsid w:val="00202478"/>
    <w:rsid w:val="00215AA1"/>
    <w:rsid w:val="002257D4"/>
    <w:rsid w:val="00293A66"/>
    <w:rsid w:val="002A412F"/>
    <w:rsid w:val="002A4600"/>
    <w:rsid w:val="002C7FEA"/>
    <w:rsid w:val="002E4D15"/>
    <w:rsid w:val="00305903"/>
    <w:rsid w:val="003115A8"/>
    <w:rsid w:val="0031656D"/>
    <w:rsid w:val="00327A3B"/>
    <w:rsid w:val="003757FC"/>
    <w:rsid w:val="00393DA4"/>
    <w:rsid w:val="003A3F37"/>
    <w:rsid w:val="003A5D23"/>
    <w:rsid w:val="003B34C2"/>
    <w:rsid w:val="003C58D8"/>
    <w:rsid w:val="003D7DB6"/>
    <w:rsid w:val="003E7709"/>
    <w:rsid w:val="00401FC5"/>
    <w:rsid w:val="004073AF"/>
    <w:rsid w:val="00416B26"/>
    <w:rsid w:val="00417694"/>
    <w:rsid w:val="004275C4"/>
    <w:rsid w:val="00454173"/>
    <w:rsid w:val="00470296"/>
    <w:rsid w:val="00483D24"/>
    <w:rsid w:val="004A4B13"/>
    <w:rsid w:val="004C4A16"/>
    <w:rsid w:val="004D257F"/>
    <w:rsid w:val="004D5F03"/>
    <w:rsid w:val="004E7F27"/>
    <w:rsid w:val="004E7F8D"/>
    <w:rsid w:val="004F108B"/>
    <w:rsid w:val="004F3028"/>
    <w:rsid w:val="004F67D8"/>
    <w:rsid w:val="00511C91"/>
    <w:rsid w:val="00530C2A"/>
    <w:rsid w:val="005407D5"/>
    <w:rsid w:val="00546F00"/>
    <w:rsid w:val="00556F24"/>
    <w:rsid w:val="005665F2"/>
    <w:rsid w:val="00566927"/>
    <w:rsid w:val="005874ED"/>
    <w:rsid w:val="00597A39"/>
    <w:rsid w:val="005B27B6"/>
    <w:rsid w:val="005B2D0F"/>
    <w:rsid w:val="005D509B"/>
    <w:rsid w:val="005E11CD"/>
    <w:rsid w:val="005E358D"/>
    <w:rsid w:val="00605288"/>
    <w:rsid w:val="00607DC9"/>
    <w:rsid w:val="006177BC"/>
    <w:rsid w:val="0062033C"/>
    <w:rsid w:val="0063176F"/>
    <w:rsid w:val="00634F01"/>
    <w:rsid w:val="00641D1E"/>
    <w:rsid w:val="00652566"/>
    <w:rsid w:val="00682A0D"/>
    <w:rsid w:val="00683CE7"/>
    <w:rsid w:val="00696BAD"/>
    <w:rsid w:val="006A1202"/>
    <w:rsid w:val="006B37DC"/>
    <w:rsid w:val="00705360"/>
    <w:rsid w:val="00705CA6"/>
    <w:rsid w:val="00714341"/>
    <w:rsid w:val="00735260"/>
    <w:rsid w:val="00740B76"/>
    <w:rsid w:val="007639D4"/>
    <w:rsid w:val="00794DFB"/>
    <w:rsid w:val="007E28CC"/>
    <w:rsid w:val="007F0435"/>
    <w:rsid w:val="007F3DBC"/>
    <w:rsid w:val="0081641D"/>
    <w:rsid w:val="00822B2A"/>
    <w:rsid w:val="00832F6D"/>
    <w:rsid w:val="00841BE7"/>
    <w:rsid w:val="00856A9D"/>
    <w:rsid w:val="0089114F"/>
    <w:rsid w:val="008B4E8D"/>
    <w:rsid w:val="008D2DE9"/>
    <w:rsid w:val="008D2E3C"/>
    <w:rsid w:val="008F3C80"/>
    <w:rsid w:val="00923283"/>
    <w:rsid w:val="00923743"/>
    <w:rsid w:val="00944D7D"/>
    <w:rsid w:val="009469B6"/>
    <w:rsid w:val="00970128"/>
    <w:rsid w:val="00973810"/>
    <w:rsid w:val="0097457D"/>
    <w:rsid w:val="00976B49"/>
    <w:rsid w:val="009836E8"/>
    <w:rsid w:val="009A4AF3"/>
    <w:rsid w:val="009B7BDB"/>
    <w:rsid w:val="009C3384"/>
    <w:rsid w:val="009F276E"/>
    <w:rsid w:val="009F3A8D"/>
    <w:rsid w:val="00A05029"/>
    <w:rsid w:val="00A17769"/>
    <w:rsid w:val="00A212CB"/>
    <w:rsid w:val="00A21FD2"/>
    <w:rsid w:val="00A25289"/>
    <w:rsid w:val="00A51714"/>
    <w:rsid w:val="00A63AAB"/>
    <w:rsid w:val="00A712FE"/>
    <w:rsid w:val="00A80318"/>
    <w:rsid w:val="00A81626"/>
    <w:rsid w:val="00A978D4"/>
    <w:rsid w:val="00A97F0C"/>
    <w:rsid w:val="00AA112C"/>
    <w:rsid w:val="00AA2B6E"/>
    <w:rsid w:val="00AB0754"/>
    <w:rsid w:val="00AB22C5"/>
    <w:rsid w:val="00AB4681"/>
    <w:rsid w:val="00AC73FE"/>
    <w:rsid w:val="00AF1BA5"/>
    <w:rsid w:val="00B41AD2"/>
    <w:rsid w:val="00B44CE5"/>
    <w:rsid w:val="00B75970"/>
    <w:rsid w:val="00B83056"/>
    <w:rsid w:val="00B900CB"/>
    <w:rsid w:val="00B96F41"/>
    <w:rsid w:val="00B97D44"/>
    <w:rsid w:val="00BB7E60"/>
    <w:rsid w:val="00BC4A4C"/>
    <w:rsid w:val="00C5212A"/>
    <w:rsid w:val="00C577AF"/>
    <w:rsid w:val="00C61E0C"/>
    <w:rsid w:val="00C94B10"/>
    <w:rsid w:val="00C95E03"/>
    <w:rsid w:val="00CA387F"/>
    <w:rsid w:val="00CB51EC"/>
    <w:rsid w:val="00CF2F57"/>
    <w:rsid w:val="00D0141C"/>
    <w:rsid w:val="00D1120B"/>
    <w:rsid w:val="00D11CEB"/>
    <w:rsid w:val="00D12C9F"/>
    <w:rsid w:val="00D34604"/>
    <w:rsid w:val="00D37677"/>
    <w:rsid w:val="00D4570C"/>
    <w:rsid w:val="00D55A56"/>
    <w:rsid w:val="00D8193B"/>
    <w:rsid w:val="00D910CA"/>
    <w:rsid w:val="00D91991"/>
    <w:rsid w:val="00D95C52"/>
    <w:rsid w:val="00DA5BBA"/>
    <w:rsid w:val="00DB2F38"/>
    <w:rsid w:val="00E061D1"/>
    <w:rsid w:val="00E07E0F"/>
    <w:rsid w:val="00E202BE"/>
    <w:rsid w:val="00E20F11"/>
    <w:rsid w:val="00E22A8D"/>
    <w:rsid w:val="00E70062"/>
    <w:rsid w:val="00E9104B"/>
    <w:rsid w:val="00EB4035"/>
    <w:rsid w:val="00EB7006"/>
    <w:rsid w:val="00ED3ADF"/>
    <w:rsid w:val="00ED49D9"/>
    <w:rsid w:val="00F038C6"/>
    <w:rsid w:val="00F114D6"/>
    <w:rsid w:val="00F40174"/>
    <w:rsid w:val="00F4320E"/>
    <w:rsid w:val="00F63693"/>
    <w:rsid w:val="00F719E1"/>
    <w:rsid w:val="00F84751"/>
    <w:rsid w:val="00F95576"/>
    <w:rsid w:val="00FA2332"/>
    <w:rsid w:val="00FE6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C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991"/>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91991"/>
    <w:rPr>
      <w:szCs w:val="22"/>
    </w:rPr>
  </w:style>
  <w:style w:type="paragraph" w:styleId="Header">
    <w:name w:val="header"/>
    <w:basedOn w:val="Normal"/>
    <w:link w:val="HeaderChar"/>
    <w:uiPriority w:val="99"/>
    <w:unhideWhenUsed/>
    <w:rsid w:val="00D91991"/>
    <w:pPr>
      <w:tabs>
        <w:tab w:val="center" w:pos="4680"/>
        <w:tab w:val="right" w:pos="9360"/>
      </w:tabs>
    </w:pPr>
  </w:style>
  <w:style w:type="character" w:customStyle="1" w:styleId="HeaderChar">
    <w:name w:val="Header Char"/>
    <w:basedOn w:val="DefaultParagraphFont"/>
    <w:link w:val="Header"/>
    <w:uiPriority w:val="99"/>
    <w:rsid w:val="00D91991"/>
    <w:rPr>
      <w:rFonts w:eastAsia="Times New Roman"/>
    </w:rPr>
  </w:style>
  <w:style w:type="paragraph" w:styleId="Footer">
    <w:name w:val="footer"/>
    <w:basedOn w:val="Normal"/>
    <w:link w:val="FooterChar"/>
    <w:uiPriority w:val="99"/>
    <w:unhideWhenUsed/>
    <w:rsid w:val="00D91991"/>
    <w:pPr>
      <w:tabs>
        <w:tab w:val="center" w:pos="4680"/>
        <w:tab w:val="right" w:pos="9360"/>
      </w:tabs>
    </w:pPr>
  </w:style>
  <w:style w:type="character" w:customStyle="1" w:styleId="FooterChar">
    <w:name w:val="Footer Char"/>
    <w:basedOn w:val="DefaultParagraphFont"/>
    <w:link w:val="Footer"/>
    <w:uiPriority w:val="99"/>
    <w:rsid w:val="00D91991"/>
    <w:rPr>
      <w:rFonts w:eastAsia="Times New Roman"/>
    </w:rPr>
  </w:style>
  <w:style w:type="paragraph" w:styleId="FootnoteText">
    <w:name w:val="footnote text"/>
    <w:basedOn w:val="Normal"/>
    <w:link w:val="FootnoteTextChar"/>
    <w:uiPriority w:val="99"/>
    <w:semiHidden/>
    <w:unhideWhenUsed/>
    <w:rsid w:val="00B41AD2"/>
    <w:rPr>
      <w:sz w:val="20"/>
      <w:szCs w:val="20"/>
    </w:rPr>
  </w:style>
  <w:style w:type="character" w:customStyle="1" w:styleId="FootnoteTextChar">
    <w:name w:val="Footnote Text Char"/>
    <w:basedOn w:val="DefaultParagraphFont"/>
    <w:link w:val="FootnoteText"/>
    <w:uiPriority w:val="99"/>
    <w:semiHidden/>
    <w:rsid w:val="00B41AD2"/>
    <w:rPr>
      <w:rFonts w:eastAsia="Times New Roman"/>
      <w:sz w:val="20"/>
      <w:szCs w:val="20"/>
    </w:rPr>
  </w:style>
  <w:style w:type="character" w:styleId="FootnoteReference">
    <w:name w:val="footnote reference"/>
    <w:basedOn w:val="DefaultParagraphFont"/>
    <w:uiPriority w:val="99"/>
    <w:semiHidden/>
    <w:unhideWhenUsed/>
    <w:rsid w:val="00B41AD2"/>
    <w:rPr>
      <w:vertAlign w:val="superscript"/>
    </w:rPr>
  </w:style>
  <w:style w:type="paragraph" w:styleId="ListParagraph">
    <w:name w:val="List Paragraph"/>
    <w:basedOn w:val="Normal"/>
    <w:qFormat/>
    <w:rsid w:val="00D55A56"/>
    <w:pPr>
      <w:spacing w:line="480" w:lineRule="auto"/>
      <w:ind w:left="720"/>
    </w:pPr>
    <w:rPr>
      <w:rFonts w:eastAsia="Calibri"/>
    </w:rPr>
  </w:style>
  <w:style w:type="paragraph" w:styleId="BalloonText">
    <w:name w:val="Balloon Text"/>
    <w:basedOn w:val="Normal"/>
    <w:link w:val="BalloonTextChar"/>
    <w:uiPriority w:val="99"/>
    <w:semiHidden/>
    <w:unhideWhenUsed/>
    <w:rsid w:val="00AA2B6E"/>
    <w:rPr>
      <w:rFonts w:ascii="Tahoma" w:hAnsi="Tahoma" w:cs="Tahoma"/>
      <w:sz w:val="16"/>
      <w:szCs w:val="16"/>
    </w:rPr>
  </w:style>
  <w:style w:type="character" w:customStyle="1" w:styleId="BalloonTextChar">
    <w:name w:val="Balloon Text Char"/>
    <w:basedOn w:val="DefaultParagraphFont"/>
    <w:link w:val="BalloonText"/>
    <w:uiPriority w:val="99"/>
    <w:semiHidden/>
    <w:rsid w:val="00AA2B6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95C52"/>
    <w:rPr>
      <w:sz w:val="16"/>
      <w:szCs w:val="16"/>
    </w:rPr>
  </w:style>
  <w:style w:type="paragraph" w:styleId="CommentText">
    <w:name w:val="annotation text"/>
    <w:basedOn w:val="Normal"/>
    <w:link w:val="CommentTextChar"/>
    <w:uiPriority w:val="99"/>
    <w:semiHidden/>
    <w:unhideWhenUsed/>
    <w:rsid w:val="00D95C52"/>
    <w:rPr>
      <w:sz w:val="20"/>
      <w:szCs w:val="20"/>
    </w:rPr>
  </w:style>
  <w:style w:type="character" w:customStyle="1" w:styleId="CommentTextChar">
    <w:name w:val="Comment Text Char"/>
    <w:basedOn w:val="DefaultParagraphFont"/>
    <w:link w:val="CommentText"/>
    <w:uiPriority w:val="99"/>
    <w:semiHidden/>
    <w:rsid w:val="00D95C52"/>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95C52"/>
    <w:rPr>
      <w:b/>
      <w:bCs/>
    </w:rPr>
  </w:style>
  <w:style w:type="character" w:customStyle="1" w:styleId="CommentSubjectChar">
    <w:name w:val="Comment Subject Char"/>
    <w:basedOn w:val="CommentTextChar"/>
    <w:link w:val="CommentSubject"/>
    <w:uiPriority w:val="99"/>
    <w:semiHidden/>
    <w:rsid w:val="00D95C52"/>
    <w:rPr>
      <w:rFonts w:eastAsia="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991"/>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91991"/>
    <w:rPr>
      <w:szCs w:val="22"/>
    </w:rPr>
  </w:style>
  <w:style w:type="paragraph" w:styleId="Header">
    <w:name w:val="header"/>
    <w:basedOn w:val="Normal"/>
    <w:link w:val="HeaderChar"/>
    <w:uiPriority w:val="99"/>
    <w:unhideWhenUsed/>
    <w:rsid w:val="00D91991"/>
    <w:pPr>
      <w:tabs>
        <w:tab w:val="center" w:pos="4680"/>
        <w:tab w:val="right" w:pos="9360"/>
      </w:tabs>
    </w:pPr>
  </w:style>
  <w:style w:type="character" w:customStyle="1" w:styleId="HeaderChar">
    <w:name w:val="Header Char"/>
    <w:basedOn w:val="DefaultParagraphFont"/>
    <w:link w:val="Header"/>
    <w:uiPriority w:val="99"/>
    <w:rsid w:val="00D91991"/>
    <w:rPr>
      <w:rFonts w:eastAsia="Times New Roman"/>
    </w:rPr>
  </w:style>
  <w:style w:type="paragraph" w:styleId="Footer">
    <w:name w:val="footer"/>
    <w:basedOn w:val="Normal"/>
    <w:link w:val="FooterChar"/>
    <w:uiPriority w:val="99"/>
    <w:unhideWhenUsed/>
    <w:rsid w:val="00D91991"/>
    <w:pPr>
      <w:tabs>
        <w:tab w:val="center" w:pos="4680"/>
        <w:tab w:val="right" w:pos="9360"/>
      </w:tabs>
    </w:pPr>
  </w:style>
  <w:style w:type="character" w:customStyle="1" w:styleId="FooterChar">
    <w:name w:val="Footer Char"/>
    <w:basedOn w:val="DefaultParagraphFont"/>
    <w:link w:val="Footer"/>
    <w:uiPriority w:val="99"/>
    <w:rsid w:val="00D91991"/>
    <w:rPr>
      <w:rFonts w:eastAsia="Times New Roman"/>
    </w:rPr>
  </w:style>
  <w:style w:type="paragraph" w:styleId="FootnoteText">
    <w:name w:val="footnote text"/>
    <w:basedOn w:val="Normal"/>
    <w:link w:val="FootnoteTextChar"/>
    <w:uiPriority w:val="99"/>
    <w:semiHidden/>
    <w:unhideWhenUsed/>
    <w:rsid w:val="00B41AD2"/>
    <w:rPr>
      <w:sz w:val="20"/>
      <w:szCs w:val="20"/>
    </w:rPr>
  </w:style>
  <w:style w:type="character" w:customStyle="1" w:styleId="FootnoteTextChar">
    <w:name w:val="Footnote Text Char"/>
    <w:basedOn w:val="DefaultParagraphFont"/>
    <w:link w:val="FootnoteText"/>
    <w:uiPriority w:val="99"/>
    <w:semiHidden/>
    <w:rsid w:val="00B41AD2"/>
    <w:rPr>
      <w:rFonts w:eastAsia="Times New Roman"/>
      <w:sz w:val="20"/>
      <w:szCs w:val="20"/>
    </w:rPr>
  </w:style>
  <w:style w:type="character" w:styleId="FootnoteReference">
    <w:name w:val="footnote reference"/>
    <w:basedOn w:val="DefaultParagraphFont"/>
    <w:uiPriority w:val="99"/>
    <w:semiHidden/>
    <w:unhideWhenUsed/>
    <w:rsid w:val="00B41AD2"/>
    <w:rPr>
      <w:vertAlign w:val="superscript"/>
    </w:rPr>
  </w:style>
  <w:style w:type="paragraph" w:styleId="ListParagraph">
    <w:name w:val="List Paragraph"/>
    <w:basedOn w:val="Normal"/>
    <w:qFormat/>
    <w:rsid w:val="00D55A56"/>
    <w:pPr>
      <w:spacing w:line="480" w:lineRule="auto"/>
      <w:ind w:left="720"/>
    </w:pPr>
    <w:rPr>
      <w:rFonts w:eastAsia="Calibri"/>
    </w:rPr>
  </w:style>
  <w:style w:type="paragraph" w:styleId="BalloonText">
    <w:name w:val="Balloon Text"/>
    <w:basedOn w:val="Normal"/>
    <w:link w:val="BalloonTextChar"/>
    <w:uiPriority w:val="99"/>
    <w:semiHidden/>
    <w:unhideWhenUsed/>
    <w:rsid w:val="00AA2B6E"/>
    <w:rPr>
      <w:rFonts w:ascii="Tahoma" w:hAnsi="Tahoma" w:cs="Tahoma"/>
      <w:sz w:val="16"/>
      <w:szCs w:val="16"/>
    </w:rPr>
  </w:style>
  <w:style w:type="character" w:customStyle="1" w:styleId="BalloonTextChar">
    <w:name w:val="Balloon Text Char"/>
    <w:basedOn w:val="DefaultParagraphFont"/>
    <w:link w:val="BalloonText"/>
    <w:uiPriority w:val="99"/>
    <w:semiHidden/>
    <w:rsid w:val="00AA2B6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95C52"/>
    <w:rPr>
      <w:sz w:val="16"/>
      <w:szCs w:val="16"/>
    </w:rPr>
  </w:style>
  <w:style w:type="paragraph" w:styleId="CommentText">
    <w:name w:val="annotation text"/>
    <w:basedOn w:val="Normal"/>
    <w:link w:val="CommentTextChar"/>
    <w:uiPriority w:val="99"/>
    <w:semiHidden/>
    <w:unhideWhenUsed/>
    <w:rsid w:val="00D95C52"/>
    <w:rPr>
      <w:sz w:val="20"/>
      <w:szCs w:val="20"/>
    </w:rPr>
  </w:style>
  <w:style w:type="character" w:customStyle="1" w:styleId="CommentTextChar">
    <w:name w:val="Comment Text Char"/>
    <w:basedOn w:val="DefaultParagraphFont"/>
    <w:link w:val="CommentText"/>
    <w:uiPriority w:val="99"/>
    <w:semiHidden/>
    <w:rsid w:val="00D95C52"/>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95C52"/>
    <w:rPr>
      <w:b/>
      <w:bCs/>
    </w:rPr>
  </w:style>
  <w:style w:type="character" w:customStyle="1" w:styleId="CommentSubjectChar">
    <w:name w:val="Comment Subject Char"/>
    <w:basedOn w:val="CommentTextChar"/>
    <w:link w:val="CommentSubject"/>
    <w:uiPriority w:val="99"/>
    <w:semiHidden/>
    <w:rsid w:val="00D95C52"/>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6F175-69BB-48A7-8100-31E4043E7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12811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Sedlmayr, Laurie</dc:creator>
  <cp:lastModifiedBy>DiCerbo, Adrienne L</cp:lastModifiedBy>
  <cp:revision>2</cp:revision>
  <cp:lastPrinted>2014-07-21T19:21:00Z</cp:lastPrinted>
  <dcterms:created xsi:type="dcterms:W3CDTF">2016-12-28T15:01:00Z</dcterms:created>
  <dcterms:modified xsi:type="dcterms:W3CDTF">2016-12-28T15:01:00Z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