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8292"/>
        <w:gridCol w:w="1158"/>
      </w:tblGrid>
      <w:tr w:rsidR="006275C1" w:rsidRPr="006275C1" w:rsidTr="006275C1">
        <w:trPr>
          <w:tblCellSpacing w:w="15" w:type="dxa"/>
        </w:trPr>
        <w:tc>
          <w:tcPr>
            <w:tcW w:w="0" w:type="auto"/>
            <w:shd w:val="clear" w:color="auto" w:fill="FFFFFF"/>
            <w:vAlign w:val="center"/>
            <w:hideMark/>
          </w:tcPr>
          <w:tbl>
            <w:tblPr>
              <w:tblW w:w="5000" w:type="pct"/>
              <w:tblCellMar>
                <w:left w:w="0" w:type="dxa"/>
                <w:right w:w="0" w:type="dxa"/>
              </w:tblCellMar>
              <w:tblLook w:val="04A0" w:firstRow="1" w:lastRow="0" w:firstColumn="1" w:lastColumn="0" w:noHBand="0" w:noVBand="1"/>
            </w:tblPr>
            <w:tblGrid>
              <w:gridCol w:w="8193"/>
              <w:gridCol w:w="8"/>
              <w:gridCol w:w="8"/>
              <w:gridCol w:w="8"/>
            </w:tblGrid>
            <w:tr w:rsidR="006275C1" w:rsidRPr="006275C1">
              <w:tc>
                <w:tcPr>
                  <w:tcW w:w="0" w:type="auto"/>
                  <w:gridSpan w:val="4"/>
                  <w:vAlign w:val="center"/>
                  <w:hideMark/>
                </w:tcPr>
                <w:p w:rsidR="006275C1" w:rsidRPr="006275C1" w:rsidRDefault="006275C1" w:rsidP="006275C1">
                  <w:pPr>
                    <w:spacing w:after="0" w:line="240" w:lineRule="auto"/>
                    <w:rPr>
                      <w:rFonts w:ascii="Times New Roman" w:eastAsia="Times New Roman" w:hAnsi="Times New Roman" w:cs="Times New Roman"/>
                      <w:sz w:val="24"/>
                      <w:szCs w:val="24"/>
                    </w:rPr>
                  </w:pPr>
                </w:p>
              </w:tc>
            </w:tr>
            <w:tr w:rsidR="006275C1" w:rsidRPr="006275C1">
              <w:tc>
                <w:tcPr>
                  <w:tcW w:w="0" w:type="auto"/>
                  <w:gridSpan w:val="4"/>
                  <w:vAlign w:val="center"/>
                  <w:hideMark/>
                </w:tcPr>
                <w:p w:rsidR="006275C1" w:rsidRPr="006275C1" w:rsidRDefault="006275C1" w:rsidP="006275C1">
                  <w:pPr>
                    <w:spacing w:after="0" w:line="240" w:lineRule="auto"/>
                    <w:rPr>
                      <w:rFonts w:ascii="Times New Roman" w:eastAsia="Times New Roman" w:hAnsi="Times New Roman" w:cs="Times New Roman"/>
                      <w:sz w:val="24"/>
                      <w:szCs w:val="24"/>
                    </w:rPr>
                  </w:pPr>
                </w:p>
              </w:tc>
            </w:tr>
            <w:tr w:rsidR="006275C1" w:rsidRPr="006275C1">
              <w:tc>
                <w:tcPr>
                  <w:tcW w:w="0" w:type="auto"/>
                  <w:vAlign w:val="center"/>
                  <w:hideMark/>
                </w:tcPr>
                <w:p w:rsidR="006275C1" w:rsidRPr="006275C1" w:rsidRDefault="006275C1" w:rsidP="006275C1">
                  <w:pPr>
                    <w:spacing w:after="0" w:line="240" w:lineRule="auto"/>
                    <w:rPr>
                      <w:rFonts w:ascii="Times New Roman" w:eastAsia="Times New Roman" w:hAnsi="Times New Roman" w:cs="Times New Roman"/>
                      <w:sz w:val="24"/>
                      <w:szCs w:val="24"/>
                    </w:rPr>
                  </w:pPr>
                  <w:hyperlink r:id="rId5" w:history="1">
                    <w:r w:rsidRPr="006275C1">
                      <w:rPr>
                        <w:rFonts w:ascii="Verdana" w:eastAsia="Times New Roman" w:hAnsi="Verdana" w:cs="Times New Roman"/>
                        <w:color w:val="990000"/>
                        <w:sz w:val="15"/>
                        <w:szCs w:val="15"/>
                        <w:u w:val="single"/>
                      </w:rPr>
                      <w:t>BLM</w:t>
                    </w:r>
                  </w:hyperlink>
                  <w:r>
                    <w:rPr>
                      <w:rFonts w:ascii="Verdana" w:eastAsia="Times New Roman" w:hAnsi="Verdana" w:cs="Times New Roman"/>
                      <w:noProof/>
                      <w:sz w:val="15"/>
                      <w:szCs w:val="15"/>
                    </w:rPr>
                    <w:drawing>
                      <wp:inline distT="0" distB="0" distL="0" distR="0">
                        <wp:extent cx="9525" cy="9525"/>
                        <wp:effectExtent l="0" t="0" r="0" b="0"/>
                        <wp:docPr id="10" name="Picture 10"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blm.gov/publish/libs/CFC/content/statics.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6275C1">
                    <w:rPr>
                      <w:rFonts w:ascii="Verdana" w:eastAsia="Times New Roman" w:hAnsi="Verdana" w:cs="Times New Roman"/>
                      <w:sz w:val="15"/>
                      <w:szCs w:val="15"/>
                    </w:rPr>
                    <w:t>&gt;</w:t>
                  </w:r>
                  <w:r>
                    <w:rPr>
                      <w:rFonts w:ascii="Verdana" w:eastAsia="Times New Roman" w:hAnsi="Verdana" w:cs="Times New Roman"/>
                      <w:noProof/>
                      <w:sz w:val="15"/>
                      <w:szCs w:val="15"/>
                    </w:rPr>
                    <w:drawing>
                      <wp:inline distT="0" distB="0" distL="0" distR="0">
                        <wp:extent cx="9525" cy="9525"/>
                        <wp:effectExtent l="0" t="0" r="0" b="0"/>
                        <wp:docPr id="9" name="Picture 9"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blm.gov/publish/libs/CFC/content/statics.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hyperlink r:id="rId7" w:history="1">
                    <w:r w:rsidRPr="006275C1">
                      <w:rPr>
                        <w:rFonts w:ascii="Verdana" w:eastAsia="Times New Roman" w:hAnsi="Verdana" w:cs="Times New Roman"/>
                        <w:color w:val="990000"/>
                        <w:sz w:val="15"/>
                        <w:szCs w:val="15"/>
                        <w:u w:val="single"/>
                      </w:rPr>
                      <w:t>New Mexico</w:t>
                    </w:r>
                  </w:hyperlink>
                  <w:r>
                    <w:rPr>
                      <w:rFonts w:ascii="Verdana" w:eastAsia="Times New Roman" w:hAnsi="Verdana" w:cs="Times New Roman"/>
                      <w:noProof/>
                      <w:sz w:val="15"/>
                      <w:szCs w:val="15"/>
                    </w:rPr>
                    <w:drawing>
                      <wp:inline distT="0" distB="0" distL="0" distR="0">
                        <wp:extent cx="9525" cy="9525"/>
                        <wp:effectExtent l="0" t="0" r="0" b="0"/>
                        <wp:docPr id="8" name="Picture 8"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blm.gov/publish/libs/CFC/content/statics.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6275C1">
                    <w:rPr>
                      <w:rFonts w:ascii="Verdana" w:eastAsia="Times New Roman" w:hAnsi="Verdana" w:cs="Times New Roman"/>
                      <w:sz w:val="15"/>
                      <w:szCs w:val="15"/>
                    </w:rPr>
                    <w:t>&gt;</w:t>
                  </w:r>
                  <w:r>
                    <w:rPr>
                      <w:rFonts w:ascii="Verdana" w:eastAsia="Times New Roman" w:hAnsi="Verdana" w:cs="Times New Roman"/>
                      <w:noProof/>
                      <w:sz w:val="15"/>
                      <w:szCs w:val="15"/>
                    </w:rPr>
                    <w:drawing>
                      <wp:inline distT="0" distB="0" distL="0" distR="0">
                        <wp:extent cx="9525" cy="9525"/>
                        <wp:effectExtent l="0" t="0" r="0" b="0"/>
                        <wp:docPr id="7" name="Picture 7"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blm.gov/publish/libs/CFC/content/statics.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hyperlink r:id="rId8" w:history="1">
                    <w:r w:rsidRPr="006275C1">
                      <w:rPr>
                        <w:rFonts w:ascii="Verdana" w:eastAsia="Times New Roman" w:hAnsi="Verdana" w:cs="Times New Roman"/>
                        <w:color w:val="990000"/>
                        <w:sz w:val="15"/>
                        <w:szCs w:val="15"/>
                        <w:u w:val="single"/>
                      </w:rPr>
                      <w:t>Energy &amp; Minerals</w:t>
                    </w:r>
                  </w:hyperlink>
                  <w:r>
                    <w:rPr>
                      <w:rFonts w:ascii="Verdana" w:eastAsia="Times New Roman" w:hAnsi="Verdana" w:cs="Times New Roman"/>
                      <w:noProof/>
                      <w:sz w:val="15"/>
                      <w:szCs w:val="15"/>
                    </w:rPr>
                    <w:drawing>
                      <wp:inline distT="0" distB="0" distL="0" distR="0">
                        <wp:extent cx="9525" cy="9525"/>
                        <wp:effectExtent l="0" t="0" r="0" b="0"/>
                        <wp:docPr id="6" name="Picture 6"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www.blm.gov/publish/libs/CFC/content/statics.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6275C1">
                    <w:rPr>
                      <w:rFonts w:ascii="Verdana" w:eastAsia="Times New Roman" w:hAnsi="Verdana" w:cs="Times New Roman"/>
                      <w:sz w:val="15"/>
                      <w:szCs w:val="15"/>
                    </w:rPr>
                    <w:t>&gt;</w:t>
                  </w:r>
                  <w:r>
                    <w:rPr>
                      <w:rFonts w:ascii="Verdana" w:eastAsia="Times New Roman" w:hAnsi="Verdana" w:cs="Times New Roman"/>
                      <w:noProof/>
                      <w:sz w:val="15"/>
                      <w:szCs w:val="15"/>
                    </w:rPr>
                    <w:drawing>
                      <wp:inline distT="0" distB="0" distL="0" distR="0">
                        <wp:extent cx="9525" cy="9525"/>
                        <wp:effectExtent l="0" t="0" r="0" b="0"/>
                        <wp:docPr id="5" name="Picture 5"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www.blm.gov/publish/libs/CFC/content/statics.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hyperlink r:id="rId9" w:history="1">
                    <w:r w:rsidRPr="006275C1">
                      <w:rPr>
                        <w:rFonts w:ascii="Verdana" w:eastAsia="Times New Roman" w:hAnsi="Verdana" w:cs="Times New Roman"/>
                        <w:color w:val="990000"/>
                        <w:sz w:val="15"/>
                        <w:szCs w:val="15"/>
                        <w:u w:val="single"/>
                      </w:rPr>
                      <w:t>Oil and Gas</w:t>
                    </w:r>
                  </w:hyperlink>
                  <w:r>
                    <w:rPr>
                      <w:rFonts w:ascii="Verdana" w:eastAsia="Times New Roman" w:hAnsi="Verdana" w:cs="Times New Roman"/>
                      <w:noProof/>
                      <w:sz w:val="15"/>
                      <w:szCs w:val="15"/>
                    </w:rPr>
                    <w:drawing>
                      <wp:inline distT="0" distB="0" distL="0" distR="0">
                        <wp:extent cx="9525" cy="9525"/>
                        <wp:effectExtent l="0" t="0" r="0" b="0"/>
                        <wp:docPr id="4" name="Picture 4"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www.blm.gov/publish/libs/CFC/content/statics.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6275C1">
                    <w:rPr>
                      <w:rFonts w:ascii="Verdana" w:eastAsia="Times New Roman" w:hAnsi="Verdana" w:cs="Times New Roman"/>
                      <w:sz w:val="15"/>
                      <w:szCs w:val="15"/>
                    </w:rPr>
                    <w:t>&gt;</w:t>
                  </w:r>
                  <w:r>
                    <w:rPr>
                      <w:rFonts w:ascii="Verdana" w:eastAsia="Times New Roman" w:hAnsi="Verdana" w:cs="Times New Roman"/>
                      <w:noProof/>
                      <w:sz w:val="15"/>
                      <w:szCs w:val="15"/>
                    </w:rPr>
                    <w:drawing>
                      <wp:inline distT="0" distB="0" distL="0" distR="0">
                        <wp:extent cx="9525" cy="9525"/>
                        <wp:effectExtent l="0" t="0" r="0" b="0"/>
                        <wp:docPr id="3" name="Picture 3"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www.blm.gov/publish/libs/CFC/content/statics.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hyperlink r:id="rId10" w:history="1">
                    <w:r w:rsidRPr="006275C1">
                      <w:rPr>
                        <w:rFonts w:ascii="Verdana" w:eastAsia="Times New Roman" w:hAnsi="Verdana" w:cs="Times New Roman"/>
                        <w:color w:val="990000"/>
                        <w:sz w:val="15"/>
                        <w:szCs w:val="15"/>
                        <w:u w:val="single"/>
                      </w:rPr>
                      <w:t>Notice to Lessees</w:t>
                    </w:r>
                  </w:hyperlink>
                  <w:r>
                    <w:rPr>
                      <w:rFonts w:ascii="Verdana" w:eastAsia="Times New Roman" w:hAnsi="Verdana" w:cs="Times New Roman"/>
                      <w:noProof/>
                      <w:sz w:val="15"/>
                      <w:szCs w:val="15"/>
                    </w:rPr>
                    <w:drawing>
                      <wp:inline distT="0" distB="0" distL="0" distR="0">
                        <wp:extent cx="9525" cy="9525"/>
                        <wp:effectExtent l="0" t="0" r="0" b="0"/>
                        <wp:docPr id="2" name="Picture 2"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www.blm.gov/publish/libs/CFC/content/statics.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6275C1">
                    <w:rPr>
                      <w:rFonts w:ascii="Verdana" w:eastAsia="Times New Roman" w:hAnsi="Verdana" w:cs="Times New Roman"/>
                      <w:sz w:val="15"/>
                      <w:szCs w:val="15"/>
                    </w:rPr>
                    <w:t>&gt;</w:t>
                  </w:r>
                  <w:r>
                    <w:rPr>
                      <w:rFonts w:ascii="Verdana" w:eastAsia="Times New Roman" w:hAnsi="Verdana" w:cs="Times New Roman"/>
                      <w:noProof/>
                      <w:sz w:val="15"/>
                      <w:szCs w:val="15"/>
                    </w:rPr>
                    <w:drawing>
                      <wp:inline distT="0" distB="0" distL="0" distR="0">
                        <wp:extent cx="9525" cy="9525"/>
                        <wp:effectExtent l="0" t="0" r="0" b="0"/>
                        <wp:docPr id="1" name="Picture 1"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www.blm.gov/publish/libs/CFC/content/statics.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6275C1">
                    <w:rPr>
                      <w:rFonts w:ascii="Verdana" w:eastAsia="Times New Roman" w:hAnsi="Verdana" w:cs="Times New Roman"/>
                      <w:sz w:val="15"/>
                      <w:szCs w:val="15"/>
                    </w:rPr>
                    <w:t>NTL 94-1RDO</w:t>
                  </w:r>
                </w:p>
              </w:tc>
              <w:tc>
                <w:tcPr>
                  <w:tcW w:w="0" w:type="auto"/>
                  <w:vAlign w:val="center"/>
                  <w:hideMark/>
                </w:tcPr>
                <w:p w:rsidR="006275C1" w:rsidRPr="006275C1" w:rsidRDefault="006275C1" w:rsidP="006275C1">
                  <w:pPr>
                    <w:spacing w:after="0" w:line="240" w:lineRule="auto"/>
                    <w:rPr>
                      <w:rFonts w:ascii="Times New Roman" w:eastAsia="Times New Roman" w:hAnsi="Times New Roman" w:cs="Times New Roman"/>
                      <w:sz w:val="20"/>
                      <w:szCs w:val="20"/>
                    </w:rPr>
                  </w:pPr>
                </w:p>
              </w:tc>
              <w:tc>
                <w:tcPr>
                  <w:tcW w:w="0" w:type="auto"/>
                  <w:vAlign w:val="center"/>
                  <w:hideMark/>
                </w:tcPr>
                <w:p w:rsidR="006275C1" w:rsidRPr="006275C1" w:rsidRDefault="006275C1" w:rsidP="006275C1">
                  <w:pPr>
                    <w:spacing w:after="0" w:line="240" w:lineRule="auto"/>
                    <w:rPr>
                      <w:rFonts w:ascii="Times New Roman" w:eastAsia="Times New Roman" w:hAnsi="Times New Roman" w:cs="Times New Roman"/>
                      <w:sz w:val="20"/>
                      <w:szCs w:val="20"/>
                    </w:rPr>
                  </w:pPr>
                </w:p>
              </w:tc>
              <w:tc>
                <w:tcPr>
                  <w:tcW w:w="0" w:type="auto"/>
                  <w:vAlign w:val="center"/>
                  <w:hideMark/>
                </w:tcPr>
                <w:p w:rsidR="006275C1" w:rsidRPr="006275C1" w:rsidRDefault="006275C1" w:rsidP="006275C1">
                  <w:pPr>
                    <w:spacing w:after="0" w:line="240" w:lineRule="auto"/>
                    <w:rPr>
                      <w:rFonts w:ascii="Times New Roman" w:eastAsia="Times New Roman" w:hAnsi="Times New Roman" w:cs="Times New Roman"/>
                      <w:sz w:val="20"/>
                      <w:szCs w:val="20"/>
                    </w:rPr>
                  </w:pPr>
                </w:p>
              </w:tc>
            </w:tr>
          </w:tbl>
          <w:p w:rsidR="006275C1" w:rsidRPr="006275C1" w:rsidRDefault="006275C1" w:rsidP="006275C1">
            <w:pPr>
              <w:spacing w:after="0" w:line="240" w:lineRule="auto"/>
              <w:rPr>
                <w:rFonts w:ascii="Verdana" w:eastAsia="Times New Roman" w:hAnsi="Verdana" w:cs="Times New Roman"/>
                <w:sz w:val="24"/>
                <w:szCs w:val="24"/>
              </w:rPr>
            </w:pPr>
          </w:p>
        </w:tc>
        <w:tc>
          <w:tcPr>
            <w:tcW w:w="0" w:type="auto"/>
            <w:shd w:val="clear" w:color="auto" w:fill="FFFFFF"/>
            <w:vAlign w:val="center"/>
            <w:hideMark/>
          </w:tcPr>
          <w:p w:rsidR="006275C1" w:rsidRPr="006275C1" w:rsidRDefault="006275C1" w:rsidP="006275C1">
            <w:pPr>
              <w:spacing w:after="0" w:line="240" w:lineRule="auto"/>
              <w:jc w:val="right"/>
              <w:rPr>
                <w:rFonts w:ascii="Verdana" w:eastAsia="Times New Roman" w:hAnsi="Verdana" w:cs="Times New Roman"/>
                <w:color w:val="000000"/>
                <w:sz w:val="14"/>
                <w:szCs w:val="14"/>
              </w:rPr>
            </w:pPr>
            <w:hyperlink r:id="rId11" w:history="1">
              <w:r w:rsidRPr="006275C1">
                <w:rPr>
                  <w:rFonts w:ascii="Verdana" w:eastAsia="Times New Roman" w:hAnsi="Verdana" w:cs="Times New Roman"/>
                  <w:color w:val="990000"/>
                  <w:sz w:val="14"/>
                  <w:szCs w:val="14"/>
                  <w:u w:val="single"/>
                </w:rPr>
                <w:t>Print Page</w:t>
              </w:r>
            </w:hyperlink>
          </w:p>
        </w:tc>
      </w:tr>
      <w:tr w:rsidR="006275C1" w:rsidRPr="006275C1" w:rsidTr="006275C1">
        <w:trPr>
          <w:tblCellSpacing w:w="15" w:type="dxa"/>
        </w:trPr>
        <w:tc>
          <w:tcPr>
            <w:tcW w:w="0" w:type="auto"/>
            <w:shd w:val="clear" w:color="auto" w:fill="FFFFFF"/>
            <w:vAlign w:val="center"/>
            <w:hideMark/>
          </w:tcPr>
          <w:p w:rsidR="006275C1" w:rsidRPr="006275C1" w:rsidRDefault="006275C1" w:rsidP="006275C1">
            <w:pPr>
              <w:spacing w:after="0" w:line="240" w:lineRule="auto"/>
              <w:rPr>
                <w:rFonts w:ascii="Verdana" w:eastAsia="Times New Roman" w:hAnsi="Verdana" w:cs="Times New Roman"/>
                <w:sz w:val="24"/>
                <w:szCs w:val="24"/>
              </w:rPr>
            </w:pPr>
          </w:p>
        </w:tc>
        <w:tc>
          <w:tcPr>
            <w:tcW w:w="0" w:type="auto"/>
            <w:shd w:val="clear" w:color="auto" w:fill="FFFFFF"/>
            <w:vAlign w:val="center"/>
            <w:hideMark/>
          </w:tcPr>
          <w:p w:rsidR="006275C1" w:rsidRPr="006275C1" w:rsidRDefault="006275C1" w:rsidP="006275C1">
            <w:pPr>
              <w:spacing w:after="0" w:line="240" w:lineRule="auto"/>
              <w:rPr>
                <w:rFonts w:ascii="Times New Roman" w:eastAsia="Times New Roman" w:hAnsi="Times New Roman" w:cs="Times New Roman"/>
                <w:sz w:val="20"/>
                <w:szCs w:val="20"/>
              </w:rPr>
            </w:pPr>
          </w:p>
        </w:tc>
      </w:tr>
      <w:tr w:rsidR="006275C1" w:rsidRPr="006275C1" w:rsidTr="006275C1">
        <w:trPr>
          <w:tblCellSpacing w:w="15" w:type="dxa"/>
        </w:trPr>
        <w:tc>
          <w:tcPr>
            <w:tcW w:w="0" w:type="auto"/>
            <w:gridSpan w:val="2"/>
            <w:shd w:val="clear" w:color="auto" w:fill="FFFFFF"/>
            <w:vAlign w:val="center"/>
            <w:hideMark/>
          </w:tcPr>
          <w:p w:rsidR="006275C1" w:rsidRPr="006275C1" w:rsidRDefault="006275C1" w:rsidP="006275C1">
            <w:pPr>
              <w:spacing w:after="0" w:line="240" w:lineRule="auto"/>
              <w:jc w:val="right"/>
              <w:rPr>
                <w:rFonts w:ascii="Verdana" w:eastAsia="Times New Roman" w:hAnsi="Verdana" w:cs="Times New Roman"/>
                <w:b/>
                <w:bCs/>
                <w:color w:val="5F7F67"/>
                <w:sz w:val="21"/>
                <w:szCs w:val="21"/>
              </w:rPr>
            </w:pPr>
          </w:p>
        </w:tc>
      </w:tr>
      <w:tr w:rsidR="006275C1" w:rsidRPr="006275C1" w:rsidTr="006275C1">
        <w:trPr>
          <w:tblCellSpacing w:w="15" w:type="dxa"/>
        </w:trPr>
        <w:tc>
          <w:tcPr>
            <w:tcW w:w="0" w:type="auto"/>
            <w:gridSpan w:val="2"/>
            <w:shd w:val="clear" w:color="auto" w:fill="FFFFFF"/>
            <w:vAlign w:val="center"/>
            <w:hideMark/>
          </w:tcPr>
          <w:p w:rsidR="006275C1" w:rsidRPr="006275C1" w:rsidRDefault="006275C1" w:rsidP="006275C1">
            <w:pPr>
              <w:spacing w:before="100" w:beforeAutospacing="1" w:after="100" w:afterAutospacing="1" w:line="240" w:lineRule="auto"/>
              <w:outlineLvl w:val="1"/>
              <w:rPr>
                <w:rFonts w:ascii="Verdana" w:eastAsia="Times New Roman" w:hAnsi="Verdana" w:cs="Times New Roman"/>
                <w:b/>
                <w:bCs/>
                <w:color w:val="5F7F67"/>
                <w:sz w:val="36"/>
                <w:szCs w:val="36"/>
              </w:rPr>
            </w:pPr>
            <w:r w:rsidRPr="006275C1">
              <w:rPr>
                <w:rFonts w:ascii="Verdana" w:eastAsia="Times New Roman" w:hAnsi="Verdana" w:cs="Times New Roman"/>
                <w:b/>
                <w:bCs/>
                <w:color w:val="5F7F67"/>
                <w:sz w:val="36"/>
                <w:szCs w:val="36"/>
              </w:rPr>
              <w:t>NTL-RDO 94-1</w:t>
            </w:r>
          </w:p>
          <w:p w:rsidR="006275C1" w:rsidRPr="006275C1" w:rsidRDefault="006275C1" w:rsidP="006275C1">
            <w:pPr>
              <w:spacing w:after="0" w:line="240" w:lineRule="auto"/>
              <w:jc w:val="center"/>
              <w:rPr>
                <w:rFonts w:ascii="Verdana" w:eastAsia="Times New Roman" w:hAnsi="Verdana" w:cs="Times New Roman"/>
                <w:sz w:val="18"/>
                <w:szCs w:val="18"/>
              </w:rPr>
            </w:pPr>
            <w:r w:rsidRPr="006275C1">
              <w:rPr>
                <w:rFonts w:ascii="Verdana" w:eastAsia="Times New Roman" w:hAnsi="Verdana" w:cs="Times New Roman"/>
                <w:sz w:val="18"/>
                <w:szCs w:val="18"/>
              </w:rPr>
              <w:t>Notice to Lessees and Operators of Onshore Federal and Indian </w:t>
            </w:r>
            <w:r w:rsidRPr="006275C1">
              <w:rPr>
                <w:rFonts w:ascii="Verdana" w:eastAsia="Times New Roman" w:hAnsi="Verdana" w:cs="Times New Roman"/>
                <w:sz w:val="18"/>
                <w:szCs w:val="18"/>
              </w:rPr>
              <w:br/>
              <w:t>Oil and Gas Leases Within the Jurisdiction </w:t>
            </w:r>
            <w:r w:rsidRPr="006275C1">
              <w:rPr>
                <w:rFonts w:ascii="Verdana" w:eastAsia="Times New Roman" w:hAnsi="Verdana" w:cs="Times New Roman"/>
                <w:sz w:val="18"/>
                <w:szCs w:val="18"/>
              </w:rPr>
              <w:br/>
              <w:t>of the Roswell District Office</w:t>
            </w:r>
            <w:r w:rsidRPr="006275C1">
              <w:rPr>
                <w:rFonts w:ascii="Verdana" w:eastAsia="Times New Roman" w:hAnsi="Verdana" w:cs="Times New Roman"/>
                <w:sz w:val="18"/>
                <w:szCs w:val="18"/>
              </w:rPr>
              <w:br/>
              <w:t>(NTL 94-1 RDO) </w:t>
            </w:r>
          </w:p>
          <w:p w:rsidR="006275C1" w:rsidRPr="006275C1" w:rsidRDefault="006275C1" w:rsidP="006275C1">
            <w:pPr>
              <w:spacing w:after="0" w:line="240" w:lineRule="auto"/>
              <w:jc w:val="center"/>
              <w:rPr>
                <w:rFonts w:ascii="Verdana" w:eastAsia="Times New Roman" w:hAnsi="Verdana" w:cs="Times New Roman"/>
                <w:sz w:val="18"/>
                <w:szCs w:val="18"/>
              </w:rPr>
            </w:pPr>
            <w:r w:rsidRPr="006275C1">
              <w:rPr>
                <w:rFonts w:ascii="Verdana" w:eastAsia="Times New Roman" w:hAnsi="Verdana" w:cs="Times New Roman"/>
                <w:sz w:val="18"/>
                <w:szCs w:val="18"/>
              </w:rPr>
              <w:pict>
                <v:rect id="_x0000_i1035" style="width:0;height:1.5pt" o:hralign="center" o:hrstd="t" o:hr="t" fillcolor="gray" stroked="f"/>
              </w:pict>
            </w:r>
          </w:p>
          <w:p w:rsidR="006275C1" w:rsidRPr="006275C1" w:rsidRDefault="006275C1" w:rsidP="006275C1">
            <w:pPr>
              <w:spacing w:before="100" w:beforeAutospacing="1" w:after="100" w:afterAutospacing="1" w:line="240" w:lineRule="auto"/>
              <w:outlineLvl w:val="4"/>
              <w:rPr>
                <w:rFonts w:ascii="Verdana" w:eastAsia="Times New Roman" w:hAnsi="Verdana" w:cs="Times New Roman"/>
                <w:b/>
                <w:bCs/>
                <w:sz w:val="20"/>
                <w:szCs w:val="20"/>
              </w:rPr>
            </w:pPr>
            <w:r w:rsidRPr="006275C1">
              <w:rPr>
                <w:rFonts w:ascii="Verdana" w:eastAsia="Times New Roman" w:hAnsi="Verdana" w:cs="Times New Roman"/>
                <w:b/>
                <w:bCs/>
                <w:sz w:val="20"/>
                <w:szCs w:val="20"/>
              </w:rPr>
              <w:t>Limits for Accumulation of Oil in Water Disposal Pits and Tanks</w:t>
            </w:r>
          </w:p>
          <w:p w:rsidR="006275C1" w:rsidRPr="006275C1" w:rsidRDefault="006275C1" w:rsidP="006275C1">
            <w:pPr>
              <w:spacing w:after="0" w:line="240" w:lineRule="auto"/>
              <w:jc w:val="center"/>
              <w:rPr>
                <w:rFonts w:ascii="Verdana" w:eastAsia="Times New Roman" w:hAnsi="Verdana" w:cs="Times New Roman"/>
                <w:sz w:val="18"/>
                <w:szCs w:val="18"/>
              </w:rPr>
            </w:pPr>
            <w:r w:rsidRPr="006275C1">
              <w:rPr>
                <w:rFonts w:ascii="Verdana" w:eastAsia="Times New Roman" w:hAnsi="Verdana" w:cs="Times New Roman"/>
                <w:sz w:val="18"/>
                <w:szCs w:val="18"/>
              </w:rPr>
              <w:pict>
                <v:rect id="_x0000_i1036" style="width:0;height:1.5pt" o:hralign="center" o:hrstd="t" o:hr="t" fillcolor="gray" stroked="f"/>
              </w:pict>
            </w:r>
          </w:p>
          <w:tbl>
            <w:tblPr>
              <w:tblW w:w="4250" w:type="pct"/>
              <w:jc w:val="center"/>
              <w:tblCellSpacing w:w="15" w:type="dxa"/>
              <w:tblCellMar>
                <w:top w:w="30" w:type="dxa"/>
                <w:left w:w="30" w:type="dxa"/>
                <w:bottom w:w="30" w:type="dxa"/>
                <w:right w:w="30" w:type="dxa"/>
              </w:tblCellMar>
              <w:tblLook w:val="04A0" w:firstRow="1" w:lastRow="0" w:firstColumn="1" w:lastColumn="0" w:noHBand="0" w:noVBand="1"/>
            </w:tblPr>
            <w:tblGrid>
              <w:gridCol w:w="7956"/>
            </w:tblGrid>
            <w:tr w:rsidR="006275C1" w:rsidRPr="006275C1">
              <w:trPr>
                <w:tblCellSpacing w:w="15" w:type="dxa"/>
                <w:jc w:val="center"/>
              </w:trPr>
              <w:tc>
                <w:tcPr>
                  <w:tcW w:w="0" w:type="auto"/>
                  <w:vAlign w:val="center"/>
                  <w:hideMark/>
                </w:tcPr>
                <w:p w:rsidR="006275C1" w:rsidRPr="006275C1" w:rsidRDefault="006275C1" w:rsidP="006275C1">
                  <w:pPr>
                    <w:spacing w:after="0" w:line="240" w:lineRule="auto"/>
                    <w:rPr>
                      <w:rFonts w:ascii="Verdana" w:eastAsia="Times New Roman" w:hAnsi="Verdana" w:cs="Times New Roman"/>
                      <w:sz w:val="18"/>
                      <w:szCs w:val="18"/>
                    </w:rPr>
                  </w:pPr>
                  <w:r w:rsidRPr="006275C1">
                    <w:rPr>
                      <w:rFonts w:ascii="Verdana" w:eastAsia="Times New Roman" w:hAnsi="Verdana" w:cs="Times New Roman"/>
                      <w:sz w:val="18"/>
                      <w:szCs w:val="18"/>
                    </w:rPr>
                    <w:t>I. Background</w:t>
                  </w:r>
                </w:p>
                <w:p w:rsidR="006275C1" w:rsidRPr="006275C1" w:rsidRDefault="006275C1" w:rsidP="006275C1">
                  <w:pPr>
                    <w:spacing w:before="100" w:beforeAutospacing="1" w:after="100" w:afterAutospacing="1" w:line="240" w:lineRule="auto"/>
                    <w:rPr>
                      <w:rFonts w:ascii="Verdana" w:eastAsia="Times New Roman" w:hAnsi="Verdana" w:cs="Times New Roman"/>
                      <w:sz w:val="18"/>
                      <w:szCs w:val="18"/>
                    </w:rPr>
                  </w:pPr>
                  <w:r w:rsidRPr="006275C1">
                    <w:rPr>
                      <w:rFonts w:ascii="Verdana" w:eastAsia="Times New Roman" w:hAnsi="Verdana" w:cs="Times New Roman"/>
                      <w:sz w:val="18"/>
                      <w:szCs w:val="18"/>
                    </w:rPr>
                    <w:t xml:space="preserve">The Bureau has monitored produced water pits or tanks used for holding water for disposal. When water </w:t>
                  </w:r>
                  <w:proofErr w:type="gramStart"/>
                  <w:r w:rsidRPr="006275C1">
                    <w:rPr>
                      <w:rFonts w:ascii="Verdana" w:eastAsia="Times New Roman" w:hAnsi="Verdana" w:cs="Times New Roman"/>
                      <w:sz w:val="18"/>
                      <w:szCs w:val="18"/>
                    </w:rPr>
                    <w:t>is removed</w:t>
                  </w:r>
                  <w:proofErr w:type="gramEnd"/>
                  <w:r w:rsidRPr="006275C1">
                    <w:rPr>
                      <w:rFonts w:ascii="Verdana" w:eastAsia="Times New Roman" w:hAnsi="Verdana" w:cs="Times New Roman"/>
                      <w:sz w:val="18"/>
                      <w:szCs w:val="18"/>
                    </w:rPr>
                    <w:t xml:space="preserve"> from the lease for disposal, oil that has accumulated is often removed but not accounted for in terms of volume. In many cases, the amount removed is more than what </w:t>
                  </w:r>
                  <w:proofErr w:type="gramStart"/>
                  <w:r w:rsidRPr="006275C1">
                    <w:rPr>
                      <w:rFonts w:ascii="Verdana" w:eastAsia="Times New Roman" w:hAnsi="Verdana" w:cs="Times New Roman"/>
                      <w:sz w:val="18"/>
                      <w:szCs w:val="18"/>
                    </w:rPr>
                    <w:t>is considered</w:t>
                  </w:r>
                  <w:proofErr w:type="gramEnd"/>
                  <w:r w:rsidRPr="006275C1">
                    <w:rPr>
                      <w:rFonts w:ascii="Verdana" w:eastAsia="Times New Roman" w:hAnsi="Verdana" w:cs="Times New Roman"/>
                      <w:sz w:val="18"/>
                      <w:szCs w:val="18"/>
                    </w:rPr>
                    <w:t xml:space="preserve"> incidental oil. The cumulative losses to the operator and government are potentially significant.</w:t>
                  </w:r>
                </w:p>
                <w:p w:rsidR="006275C1" w:rsidRPr="006275C1" w:rsidRDefault="006275C1" w:rsidP="006275C1">
                  <w:pPr>
                    <w:spacing w:before="100" w:beforeAutospacing="1" w:after="100" w:afterAutospacing="1" w:line="240" w:lineRule="auto"/>
                    <w:rPr>
                      <w:rFonts w:ascii="Verdana" w:eastAsia="Times New Roman" w:hAnsi="Verdana" w:cs="Times New Roman"/>
                      <w:sz w:val="18"/>
                      <w:szCs w:val="18"/>
                    </w:rPr>
                  </w:pPr>
                  <w:r w:rsidRPr="006275C1">
                    <w:rPr>
                      <w:rFonts w:ascii="Verdana" w:eastAsia="Times New Roman" w:hAnsi="Verdana" w:cs="Times New Roman"/>
                      <w:sz w:val="18"/>
                      <w:szCs w:val="18"/>
                    </w:rPr>
                    <w:t>II. Purpose</w:t>
                  </w:r>
                </w:p>
                <w:p w:rsidR="006275C1" w:rsidRPr="006275C1" w:rsidRDefault="006275C1" w:rsidP="006275C1">
                  <w:pPr>
                    <w:spacing w:before="100" w:beforeAutospacing="1" w:after="100" w:afterAutospacing="1" w:line="240" w:lineRule="auto"/>
                    <w:rPr>
                      <w:rFonts w:ascii="Verdana" w:eastAsia="Times New Roman" w:hAnsi="Verdana" w:cs="Times New Roman"/>
                      <w:sz w:val="18"/>
                      <w:szCs w:val="18"/>
                    </w:rPr>
                  </w:pPr>
                  <w:r w:rsidRPr="006275C1">
                    <w:rPr>
                      <w:rFonts w:ascii="Verdana" w:eastAsia="Times New Roman" w:hAnsi="Verdana" w:cs="Times New Roman"/>
                      <w:sz w:val="18"/>
                      <w:szCs w:val="18"/>
                    </w:rPr>
                    <w:t xml:space="preserve">Federal regulations and Onshore Order No. 7, Section III., Part F.8., require that produced water pits or tanks </w:t>
                  </w:r>
                  <w:proofErr w:type="gramStart"/>
                  <w:r w:rsidRPr="006275C1">
                    <w:rPr>
                      <w:rFonts w:ascii="Verdana" w:eastAsia="Times New Roman" w:hAnsi="Verdana" w:cs="Times New Roman"/>
                      <w:sz w:val="18"/>
                      <w:szCs w:val="18"/>
                    </w:rPr>
                    <w:t>be kept</w:t>
                  </w:r>
                  <w:proofErr w:type="gramEnd"/>
                  <w:r w:rsidRPr="006275C1">
                    <w:rPr>
                      <w:rFonts w:ascii="Verdana" w:eastAsia="Times New Roman" w:hAnsi="Verdana" w:cs="Times New Roman"/>
                      <w:sz w:val="18"/>
                      <w:szCs w:val="18"/>
                    </w:rPr>
                    <w:t xml:space="preserve"> reasonably free of oil. This Notice establishes standards for reasonably free and incidental oil that </w:t>
                  </w:r>
                  <w:proofErr w:type="gramStart"/>
                  <w:r w:rsidRPr="006275C1">
                    <w:rPr>
                      <w:rFonts w:ascii="Verdana" w:eastAsia="Times New Roman" w:hAnsi="Verdana" w:cs="Times New Roman"/>
                      <w:sz w:val="18"/>
                      <w:szCs w:val="18"/>
                    </w:rPr>
                    <w:t>is allowed</w:t>
                  </w:r>
                  <w:proofErr w:type="gramEnd"/>
                  <w:r w:rsidRPr="006275C1">
                    <w:rPr>
                      <w:rFonts w:ascii="Verdana" w:eastAsia="Times New Roman" w:hAnsi="Verdana" w:cs="Times New Roman"/>
                      <w:sz w:val="18"/>
                      <w:szCs w:val="18"/>
                    </w:rPr>
                    <w:t xml:space="preserve"> to accumulate. This amendment establishes standards for the Roswell District Office and replaces NTL 92-3 New Mexico.</w:t>
                  </w:r>
                </w:p>
                <w:p w:rsidR="006275C1" w:rsidRPr="006275C1" w:rsidRDefault="006275C1" w:rsidP="006275C1">
                  <w:pPr>
                    <w:spacing w:before="100" w:beforeAutospacing="1" w:after="100" w:afterAutospacing="1" w:line="240" w:lineRule="auto"/>
                    <w:rPr>
                      <w:rFonts w:ascii="Verdana" w:eastAsia="Times New Roman" w:hAnsi="Verdana" w:cs="Times New Roman"/>
                      <w:sz w:val="18"/>
                      <w:szCs w:val="18"/>
                    </w:rPr>
                  </w:pPr>
                  <w:r w:rsidRPr="006275C1">
                    <w:rPr>
                      <w:rFonts w:ascii="Verdana" w:eastAsia="Times New Roman" w:hAnsi="Verdana" w:cs="Times New Roman"/>
                      <w:sz w:val="18"/>
                      <w:szCs w:val="18"/>
                    </w:rPr>
                    <w:t>III. Authority</w:t>
                  </w:r>
                </w:p>
                <w:p w:rsidR="006275C1" w:rsidRPr="006275C1" w:rsidRDefault="006275C1" w:rsidP="006275C1">
                  <w:pPr>
                    <w:spacing w:before="100" w:beforeAutospacing="1" w:after="100" w:afterAutospacing="1" w:line="240" w:lineRule="auto"/>
                    <w:rPr>
                      <w:rFonts w:ascii="Verdana" w:eastAsia="Times New Roman" w:hAnsi="Verdana" w:cs="Times New Roman"/>
                      <w:sz w:val="18"/>
                      <w:szCs w:val="18"/>
                    </w:rPr>
                  </w:pPr>
                  <w:r w:rsidRPr="006275C1">
                    <w:rPr>
                      <w:rFonts w:ascii="Verdana" w:eastAsia="Times New Roman" w:hAnsi="Verdana" w:cs="Times New Roman"/>
                      <w:sz w:val="18"/>
                      <w:szCs w:val="18"/>
                    </w:rPr>
                    <w:t>Title 43 CFR Part 3164.2, Part 3162.7-1, and Onshore Order No. 7, Disposal of Produced Water.</w:t>
                  </w:r>
                </w:p>
                <w:p w:rsidR="006275C1" w:rsidRPr="006275C1" w:rsidRDefault="006275C1" w:rsidP="006275C1">
                  <w:pPr>
                    <w:spacing w:before="100" w:beforeAutospacing="1" w:after="100" w:afterAutospacing="1" w:line="240" w:lineRule="auto"/>
                    <w:rPr>
                      <w:rFonts w:ascii="Verdana" w:eastAsia="Times New Roman" w:hAnsi="Verdana" w:cs="Times New Roman"/>
                      <w:sz w:val="18"/>
                      <w:szCs w:val="18"/>
                    </w:rPr>
                  </w:pPr>
                  <w:r w:rsidRPr="006275C1">
                    <w:rPr>
                      <w:rFonts w:ascii="Verdana" w:eastAsia="Times New Roman" w:hAnsi="Verdana" w:cs="Times New Roman"/>
                      <w:sz w:val="18"/>
                      <w:szCs w:val="18"/>
                    </w:rPr>
                    <w:t>IV. Definitions</w:t>
                  </w:r>
                </w:p>
                <w:p w:rsidR="006275C1" w:rsidRPr="006275C1" w:rsidRDefault="006275C1" w:rsidP="006275C1">
                  <w:pPr>
                    <w:spacing w:before="100" w:beforeAutospacing="1" w:after="100" w:afterAutospacing="1" w:line="240" w:lineRule="auto"/>
                    <w:rPr>
                      <w:rFonts w:ascii="Verdana" w:eastAsia="Times New Roman" w:hAnsi="Verdana" w:cs="Times New Roman"/>
                      <w:sz w:val="18"/>
                      <w:szCs w:val="18"/>
                    </w:rPr>
                  </w:pPr>
                  <w:r w:rsidRPr="006275C1">
                    <w:rPr>
                      <w:rFonts w:ascii="Verdana" w:eastAsia="Times New Roman" w:hAnsi="Verdana" w:cs="Times New Roman"/>
                      <w:b/>
                      <w:bCs/>
                      <w:sz w:val="18"/>
                      <w:szCs w:val="18"/>
                    </w:rPr>
                    <w:t>Oil</w:t>
                  </w:r>
                  <w:r w:rsidRPr="006275C1">
                    <w:rPr>
                      <w:rFonts w:ascii="Verdana" w:eastAsia="Times New Roman" w:hAnsi="Verdana" w:cs="Times New Roman"/>
                      <w:sz w:val="18"/>
                      <w:szCs w:val="18"/>
                    </w:rPr>
                    <w:t> means any hydrocarbon that exists as a liquid at atmospheric pressure.</w:t>
                  </w:r>
                </w:p>
                <w:p w:rsidR="006275C1" w:rsidRPr="006275C1" w:rsidRDefault="006275C1" w:rsidP="006275C1">
                  <w:pPr>
                    <w:spacing w:before="100" w:beforeAutospacing="1" w:after="100" w:afterAutospacing="1" w:line="240" w:lineRule="auto"/>
                    <w:rPr>
                      <w:rFonts w:ascii="Verdana" w:eastAsia="Times New Roman" w:hAnsi="Verdana" w:cs="Times New Roman"/>
                      <w:sz w:val="18"/>
                      <w:szCs w:val="18"/>
                    </w:rPr>
                  </w:pPr>
                  <w:r w:rsidRPr="006275C1">
                    <w:rPr>
                      <w:rFonts w:ascii="Verdana" w:eastAsia="Times New Roman" w:hAnsi="Verdana" w:cs="Times New Roman"/>
                      <w:b/>
                      <w:bCs/>
                      <w:sz w:val="18"/>
                      <w:szCs w:val="18"/>
                    </w:rPr>
                    <w:t>Reasonably free of oil </w:t>
                  </w:r>
                  <w:r w:rsidRPr="006275C1">
                    <w:rPr>
                      <w:rFonts w:ascii="Verdana" w:eastAsia="Times New Roman" w:hAnsi="Verdana" w:cs="Times New Roman"/>
                      <w:sz w:val="18"/>
                      <w:szCs w:val="18"/>
                    </w:rPr>
                    <w:t>means three (3) barrels or less of oil in the tank or pit.</w:t>
                  </w:r>
                </w:p>
                <w:p w:rsidR="006275C1" w:rsidRPr="006275C1" w:rsidRDefault="006275C1" w:rsidP="006275C1">
                  <w:pPr>
                    <w:spacing w:before="100" w:beforeAutospacing="1" w:after="100" w:afterAutospacing="1" w:line="240" w:lineRule="auto"/>
                    <w:rPr>
                      <w:rFonts w:ascii="Verdana" w:eastAsia="Times New Roman" w:hAnsi="Verdana" w:cs="Times New Roman"/>
                      <w:sz w:val="18"/>
                      <w:szCs w:val="18"/>
                    </w:rPr>
                  </w:pPr>
                  <w:r w:rsidRPr="006275C1">
                    <w:rPr>
                      <w:rFonts w:ascii="Verdana" w:eastAsia="Times New Roman" w:hAnsi="Verdana" w:cs="Times New Roman"/>
                      <w:b/>
                      <w:bCs/>
                      <w:sz w:val="18"/>
                      <w:szCs w:val="18"/>
                    </w:rPr>
                    <w:t>Incidental oil</w:t>
                  </w:r>
                  <w:r w:rsidRPr="006275C1">
                    <w:rPr>
                      <w:rFonts w:ascii="Verdana" w:eastAsia="Times New Roman" w:hAnsi="Verdana" w:cs="Times New Roman"/>
                      <w:sz w:val="18"/>
                      <w:szCs w:val="18"/>
                    </w:rPr>
                    <w:t> means one (</w:t>
                  </w:r>
                  <w:proofErr w:type="gramStart"/>
                  <w:r w:rsidRPr="006275C1">
                    <w:rPr>
                      <w:rFonts w:ascii="Verdana" w:eastAsia="Times New Roman" w:hAnsi="Verdana" w:cs="Times New Roman"/>
                      <w:sz w:val="18"/>
                      <w:szCs w:val="18"/>
                    </w:rPr>
                    <w:t>1 )</w:t>
                  </w:r>
                  <w:proofErr w:type="gramEnd"/>
                  <w:r w:rsidRPr="006275C1">
                    <w:rPr>
                      <w:rFonts w:ascii="Verdana" w:eastAsia="Times New Roman" w:hAnsi="Verdana" w:cs="Times New Roman"/>
                      <w:sz w:val="18"/>
                      <w:szCs w:val="18"/>
                    </w:rPr>
                    <w:t xml:space="preserve"> barrel or less of oil.</w:t>
                  </w:r>
                </w:p>
                <w:p w:rsidR="006275C1" w:rsidRPr="006275C1" w:rsidRDefault="006275C1" w:rsidP="006275C1">
                  <w:pPr>
                    <w:spacing w:before="100" w:beforeAutospacing="1" w:after="100" w:afterAutospacing="1" w:line="240" w:lineRule="auto"/>
                    <w:rPr>
                      <w:rFonts w:ascii="Verdana" w:eastAsia="Times New Roman" w:hAnsi="Verdana" w:cs="Times New Roman"/>
                      <w:sz w:val="18"/>
                      <w:szCs w:val="18"/>
                    </w:rPr>
                  </w:pPr>
                  <w:r w:rsidRPr="006275C1">
                    <w:rPr>
                      <w:rFonts w:ascii="Verdana" w:eastAsia="Times New Roman" w:hAnsi="Verdana" w:cs="Times New Roman"/>
                      <w:b/>
                      <w:bCs/>
                      <w:sz w:val="18"/>
                      <w:szCs w:val="18"/>
                    </w:rPr>
                    <w:t>Lined Pit </w:t>
                  </w:r>
                  <w:r w:rsidRPr="006275C1">
                    <w:rPr>
                      <w:rFonts w:ascii="Verdana" w:eastAsia="Times New Roman" w:hAnsi="Verdana" w:cs="Times New Roman"/>
                      <w:sz w:val="18"/>
                      <w:szCs w:val="18"/>
                    </w:rPr>
                    <w:t xml:space="preserve">means an excavated and/or </w:t>
                  </w:r>
                  <w:proofErr w:type="spellStart"/>
                  <w:r w:rsidRPr="006275C1">
                    <w:rPr>
                      <w:rFonts w:ascii="Verdana" w:eastAsia="Times New Roman" w:hAnsi="Verdana" w:cs="Times New Roman"/>
                      <w:sz w:val="18"/>
                      <w:szCs w:val="18"/>
                    </w:rPr>
                    <w:t>bermed</w:t>
                  </w:r>
                  <w:proofErr w:type="spellEnd"/>
                  <w:r w:rsidRPr="006275C1">
                    <w:rPr>
                      <w:rFonts w:ascii="Verdana" w:eastAsia="Times New Roman" w:hAnsi="Verdana" w:cs="Times New Roman"/>
                      <w:sz w:val="18"/>
                      <w:szCs w:val="18"/>
                    </w:rPr>
                    <w:t xml:space="preserve"> area that </w:t>
                  </w:r>
                  <w:proofErr w:type="gramStart"/>
                  <w:r w:rsidRPr="006275C1">
                    <w:rPr>
                      <w:rFonts w:ascii="Verdana" w:eastAsia="Times New Roman" w:hAnsi="Verdana" w:cs="Times New Roman"/>
                      <w:sz w:val="18"/>
                      <w:szCs w:val="18"/>
                    </w:rPr>
                    <w:t>is required to be lined</w:t>
                  </w:r>
                  <w:proofErr w:type="gramEnd"/>
                  <w:r w:rsidRPr="006275C1">
                    <w:rPr>
                      <w:rFonts w:ascii="Verdana" w:eastAsia="Times New Roman" w:hAnsi="Verdana" w:cs="Times New Roman"/>
                      <w:sz w:val="18"/>
                      <w:szCs w:val="18"/>
                    </w:rPr>
                    <w:t xml:space="preserve"> with natural or manmade material that will prevent seepage. Such pit shall also include a leak detection system.</w:t>
                  </w:r>
                </w:p>
                <w:p w:rsidR="006275C1" w:rsidRPr="006275C1" w:rsidRDefault="006275C1" w:rsidP="006275C1">
                  <w:pPr>
                    <w:spacing w:before="100" w:beforeAutospacing="1" w:after="100" w:afterAutospacing="1" w:line="240" w:lineRule="auto"/>
                    <w:rPr>
                      <w:rFonts w:ascii="Verdana" w:eastAsia="Times New Roman" w:hAnsi="Verdana" w:cs="Times New Roman"/>
                      <w:sz w:val="18"/>
                      <w:szCs w:val="18"/>
                    </w:rPr>
                  </w:pPr>
                  <w:r w:rsidRPr="006275C1">
                    <w:rPr>
                      <w:rFonts w:ascii="Verdana" w:eastAsia="Times New Roman" w:hAnsi="Verdana" w:cs="Times New Roman"/>
                      <w:b/>
                      <w:bCs/>
                      <w:sz w:val="18"/>
                      <w:szCs w:val="18"/>
                    </w:rPr>
                    <w:t>Unlined Pit</w:t>
                  </w:r>
                  <w:r w:rsidRPr="006275C1">
                    <w:rPr>
                      <w:rFonts w:ascii="Verdana" w:eastAsia="Times New Roman" w:hAnsi="Verdana" w:cs="Times New Roman"/>
                      <w:sz w:val="18"/>
                      <w:szCs w:val="18"/>
                    </w:rPr>
                    <w:t xml:space="preserve"> means an excavated and/or </w:t>
                  </w:r>
                  <w:proofErr w:type="spellStart"/>
                  <w:r w:rsidRPr="006275C1">
                    <w:rPr>
                      <w:rFonts w:ascii="Verdana" w:eastAsia="Times New Roman" w:hAnsi="Verdana" w:cs="Times New Roman"/>
                      <w:sz w:val="18"/>
                      <w:szCs w:val="18"/>
                    </w:rPr>
                    <w:t>bermed</w:t>
                  </w:r>
                  <w:proofErr w:type="spellEnd"/>
                  <w:r w:rsidRPr="006275C1">
                    <w:rPr>
                      <w:rFonts w:ascii="Verdana" w:eastAsia="Times New Roman" w:hAnsi="Verdana" w:cs="Times New Roman"/>
                      <w:sz w:val="18"/>
                      <w:szCs w:val="18"/>
                    </w:rPr>
                    <w:t xml:space="preserve"> area that </w:t>
                  </w:r>
                  <w:proofErr w:type="gramStart"/>
                  <w:r w:rsidRPr="006275C1">
                    <w:rPr>
                      <w:rFonts w:ascii="Verdana" w:eastAsia="Times New Roman" w:hAnsi="Verdana" w:cs="Times New Roman"/>
                      <w:sz w:val="18"/>
                      <w:szCs w:val="18"/>
                    </w:rPr>
                    <w:t>is not required to be lined</w:t>
                  </w:r>
                  <w:proofErr w:type="gramEnd"/>
                  <w:r w:rsidRPr="006275C1">
                    <w:rPr>
                      <w:rFonts w:ascii="Verdana" w:eastAsia="Times New Roman" w:hAnsi="Verdana" w:cs="Times New Roman"/>
                      <w:sz w:val="18"/>
                      <w:szCs w:val="18"/>
                    </w:rPr>
                    <w:t xml:space="preserve"> or any pit that is lined but does not contain a leak detection system. This includes all tanks, fiberglass or steel, </w:t>
                  </w:r>
                  <w:proofErr w:type="gramStart"/>
                  <w:r w:rsidRPr="006275C1">
                    <w:rPr>
                      <w:rFonts w:ascii="Verdana" w:eastAsia="Times New Roman" w:hAnsi="Verdana" w:cs="Times New Roman"/>
                      <w:sz w:val="18"/>
                      <w:szCs w:val="18"/>
                    </w:rPr>
                    <w:t>that do</w:t>
                  </w:r>
                  <w:proofErr w:type="gramEnd"/>
                  <w:r w:rsidRPr="006275C1">
                    <w:rPr>
                      <w:rFonts w:ascii="Verdana" w:eastAsia="Times New Roman" w:hAnsi="Verdana" w:cs="Times New Roman"/>
                      <w:sz w:val="18"/>
                      <w:szCs w:val="18"/>
                    </w:rPr>
                    <w:t xml:space="preserve"> not meet the requirements of Onshore Order No. 3 and 4 for storage/sales of oil, or other vessels used to contain produced water.</w:t>
                  </w:r>
                </w:p>
                <w:p w:rsidR="006275C1" w:rsidRPr="006275C1" w:rsidRDefault="006275C1" w:rsidP="006275C1">
                  <w:pPr>
                    <w:spacing w:before="100" w:beforeAutospacing="1" w:after="100" w:afterAutospacing="1" w:line="240" w:lineRule="auto"/>
                    <w:rPr>
                      <w:rFonts w:ascii="Verdana" w:eastAsia="Times New Roman" w:hAnsi="Verdana" w:cs="Times New Roman"/>
                      <w:sz w:val="18"/>
                      <w:szCs w:val="18"/>
                    </w:rPr>
                  </w:pPr>
                  <w:r w:rsidRPr="006275C1">
                    <w:rPr>
                      <w:rFonts w:ascii="Verdana" w:eastAsia="Times New Roman" w:hAnsi="Verdana" w:cs="Times New Roman"/>
                      <w:b/>
                      <w:bCs/>
                      <w:sz w:val="18"/>
                      <w:szCs w:val="18"/>
                    </w:rPr>
                    <w:t>Disposal pit or tank</w:t>
                  </w:r>
                  <w:r w:rsidRPr="006275C1">
                    <w:rPr>
                      <w:rFonts w:ascii="Verdana" w:eastAsia="Times New Roman" w:hAnsi="Verdana" w:cs="Times New Roman"/>
                      <w:sz w:val="18"/>
                      <w:szCs w:val="18"/>
                    </w:rPr>
                    <w:t xml:space="preserve"> means any container used to hold water for disposal or is used </w:t>
                  </w:r>
                  <w:r w:rsidRPr="006275C1">
                    <w:rPr>
                      <w:rFonts w:ascii="Verdana" w:eastAsia="Times New Roman" w:hAnsi="Verdana" w:cs="Times New Roman"/>
                      <w:sz w:val="18"/>
                      <w:szCs w:val="18"/>
                    </w:rPr>
                    <w:lastRenderedPageBreak/>
                    <w:t>to hold water prior to disposal</w:t>
                  </w:r>
                </w:p>
                <w:p w:rsidR="006275C1" w:rsidRPr="006275C1" w:rsidRDefault="006275C1" w:rsidP="006275C1">
                  <w:pPr>
                    <w:spacing w:before="100" w:beforeAutospacing="1" w:after="100" w:afterAutospacing="1" w:line="240" w:lineRule="auto"/>
                    <w:rPr>
                      <w:rFonts w:ascii="Verdana" w:eastAsia="Times New Roman" w:hAnsi="Verdana" w:cs="Times New Roman"/>
                      <w:sz w:val="18"/>
                      <w:szCs w:val="18"/>
                    </w:rPr>
                  </w:pPr>
                  <w:r w:rsidRPr="006275C1">
                    <w:rPr>
                      <w:rFonts w:ascii="Verdana" w:eastAsia="Times New Roman" w:hAnsi="Verdana" w:cs="Times New Roman"/>
                      <w:sz w:val="18"/>
                      <w:szCs w:val="18"/>
                    </w:rPr>
                    <w:t>V. Requirements</w:t>
                  </w:r>
                </w:p>
                <w:p w:rsidR="006275C1" w:rsidRPr="006275C1" w:rsidRDefault="006275C1" w:rsidP="006275C1">
                  <w:pPr>
                    <w:spacing w:before="100" w:beforeAutospacing="1" w:after="100" w:afterAutospacing="1" w:line="240" w:lineRule="auto"/>
                    <w:rPr>
                      <w:rFonts w:ascii="Verdana" w:eastAsia="Times New Roman" w:hAnsi="Verdana" w:cs="Times New Roman"/>
                      <w:sz w:val="18"/>
                      <w:szCs w:val="18"/>
                    </w:rPr>
                  </w:pPr>
                  <w:r w:rsidRPr="006275C1">
                    <w:rPr>
                      <w:rFonts w:ascii="Verdana" w:eastAsia="Times New Roman" w:hAnsi="Verdana" w:cs="Times New Roman"/>
                      <w:sz w:val="18"/>
                      <w:szCs w:val="18"/>
                    </w:rPr>
                    <w:t>The operator is responsible for maintaining production equipment in a condition that prevents oil accumulating in produced water pits or tanks, which must be reasonably oil free. Incidental oil accumulations in produced water pits or tanks qualifies as waste oil and up to one (1 ) barrel of oil, cumulative, may be removed and disposed of once per calendar quarter.</w:t>
                  </w:r>
                </w:p>
                <w:p w:rsidR="006275C1" w:rsidRPr="006275C1" w:rsidRDefault="006275C1" w:rsidP="006275C1">
                  <w:pPr>
                    <w:spacing w:before="100" w:beforeAutospacing="1" w:after="100" w:afterAutospacing="1" w:line="240" w:lineRule="auto"/>
                    <w:rPr>
                      <w:rFonts w:ascii="Verdana" w:eastAsia="Times New Roman" w:hAnsi="Verdana" w:cs="Times New Roman"/>
                      <w:sz w:val="18"/>
                      <w:szCs w:val="18"/>
                    </w:rPr>
                  </w:pPr>
                  <w:r w:rsidRPr="006275C1">
                    <w:rPr>
                      <w:rFonts w:ascii="Verdana" w:eastAsia="Times New Roman" w:hAnsi="Verdana" w:cs="Times New Roman"/>
                      <w:sz w:val="18"/>
                      <w:szCs w:val="18"/>
                    </w:rPr>
                    <w:t>Oil accumulation of three (3) or more barrels require the operator to initiate actions that either returns the oil to the regular treating system and stock tanks for sale, or removes the oil from the produced water pits or tanks for disposal.</w:t>
                  </w:r>
                </w:p>
                <w:p w:rsidR="006275C1" w:rsidRPr="006275C1" w:rsidRDefault="006275C1" w:rsidP="006275C1">
                  <w:pPr>
                    <w:spacing w:before="100" w:beforeAutospacing="1" w:after="100" w:afterAutospacing="1" w:line="240" w:lineRule="auto"/>
                    <w:rPr>
                      <w:rFonts w:ascii="Verdana" w:eastAsia="Times New Roman" w:hAnsi="Verdana" w:cs="Times New Roman"/>
                      <w:sz w:val="18"/>
                      <w:szCs w:val="18"/>
                    </w:rPr>
                  </w:pPr>
                  <w:r w:rsidRPr="006275C1">
                    <w:rPr>
                      <w:rFonts w:ascii="Verdana" w:eastAsia="Times New Roman" w:hAnsi="Verdana" w:cs="Times New Roman"/>
                      <w:sz w:val="18"/>
                      <w:szCs w:val="18"/>
                    </w:rPr>
                    <w:t xml:space="preserve">Removal and disposal of oil volumes exceeding incidental amounts (one barrel or more) require an approved waste oil determination from the Authorized Officer (AO). An application for a waste oil determination shall be on Sundry Notice Form </w:t>
                  </w:r>
                  <w:proofErr w:type="gramStart"/>
                  <w:r w:rsidRPr="006275C1">
                    <w:rPr>
                      <w:rFonts w:ascii="Verdana" w:eastAsia="Times New Roman" w:hAnsi="Verdana" w:cs="Times New Roman"/>
                      <w:sz w:val="18"/>
                      <w:szCs w:val="18"/>
                    </w:rPr>
                    <w:t>3160-5 and must demonstrate to the AO that the oil is of such quality that it cannot be treated economically and put in marketable condition with existing or modified lease facilities or portable equipment</w:t>
                  </w:r>
                  <w:proofErr w:type="gramEnd"/>
                  <w:r w:rsidRPr="006275C1">
                    <w:rPr>
                      <w:rFonts w:ascii="Verdana" w:eastAsia="Times New Roman" w:hAnsi="Verdana" w:cs="Times New Roman"/>
                      <w:sz w:val="18"/>
                      <w:szCs w:val="18"/>
                    </w:rPr>
                    <w:t xml:space="preserve"> and cannot be sold to </w:t>
                  </w:r>
                  <w:proofErr w:type="spellStart"/>
                  <w:r w:rsidRPr="006275C1">
                    <w:rPr>
                      <w:rFonts w:ascii="Verdana" w:eastAsia="Times New Roman" w:hAnsi="Verdana" w:cs="Times New Roman"/>
                      <w:sz w:val="18"/>
                      <w:szCs w:val="18"/>
                    </w:rPr>
                    <w:t>reclaimers</w:t>
                  </w:r>
                  <w:proofErr w:type="spellEnd"/>
                  <w:r w:rsidRPr="006275C1">
                    <w:rPr>
                      <w:rFonts w:ascii="Verdana" w:eastAsia="Times New Roman" w:hAnsi="Verdana" w:cs="Times New Roman"/>
                      <w:sz w:val="18"/>
                      <w:szCs w:val="18"/>
                    </w:rPr>
                    <w:t>.</w:t>
                  </w:r>
                </w:p>
                <w:p w:rsidR="006275C1" w:rsidRPr="006275C1" w:rsidRDefault="006275C1" w:rsidP="006275C1">
                  <w:pPr>
                    <w:spacing w:before="100" w:beforeAutospacing="1" w:after="100" w:afterAutospacing="1" w:line="240" w:lineRule="auto"/>
                    <w:rPr>
                      <w:rFonts w:ascii="Verdana" w:eastAsia="Times New Roman" w:hAnsi="Verdana" w:cs="Times New Roman"/>
                      <w:sz w:val="18"/>
                      <w:szCs w:val="18"/>
                    </w:rPr>
                  </w:pPr>
                  <w:r w:rsidRPr="006275C1">
                    <w:rPr>
                      <w:rFonts w:ascii="Verdana" w:eastAsia="Times New Roman" w:hAnsi="Verdana" w:cs="Times New Roman"/>
                      <w:sz w:val="18"/>
                      <w:szCs w:val="18"/>
                    </w:rPr>
                    <w:t>VI. Documentation</w:t>
                  </w:r>
                </w:p>
                <w:p w:rsidR="006275C1" w:rsidRPr="006275C1" w:rsidRDefault="006275C1" w:rsidP="006275C1">
                  <w:pPr>
                    <w:spacing w:before="100" w:beforeAutospacing="1" w:after="100" w:afterAutospacing="1" w:line="240" w:lineRule="auto"/>
                    <w:rPr>
                      <w:rFonts w:ascii="Verdana" w:eastAsia="Times New Roman" w:hAnsi="Verdana" w:cs="Times New Roman"/>
                      <w:sz w:val="18"/>
                      <w:szCs w:val="18"/>
                    </w:rPr>
                  </w:pPr>
                  <w:r w:rsidRPr="006275C1">
                    <w:rPr>
                      <w:rFonts w:ascii="Verdana" w:eastAsia="Times New Roman" w:hAnsi="Verdana" w:cs="Times New Roman"/>
                      <w:sz w:val="18"/>
                      <w:szCs w:val="18"/>
                    </w:rPr>
                    <w:t xml:space="preserve">When removing and disposing of water and incidental or waste oil from produced water pits or tanks, the volumes </w:t>
                  </w:r>
                  <w:proofErr w:type="gramStart"/>
                  <w:r w:rsidRPr="006275C1">
                    <w:rPr>
                      <w:rFonts w:ascii="Verdana" w:eastAsia="Times New Roman" w:hAnsi="Verdana" w:cs="Times New Roman"/>
                      <w:sz w:val="18"/>
                      <w:szCs w:val="18"/>
                    </w:rPr>
                    <w:t>must be recorded</w:t>
                  </w:r>
                  <w:proofErr w:type="gramEnd"/>
                  <w:r w:rsidRPr="006275C1">
                    <w:rPr>
                      <w:rFonts w:ascii="Verdana" w:eastAsia="Times New Roman" w:hAnsi="Verdana" w:cs="Times New Roman"/>
                      <w:sz w:val="18"/>
                      <w:szCs w:val="18"/>
                    </w:rPr>
                    <w:t xml:space="preserve"> on a trucking manifest. This manifest must include the well name and/or number, lease number, location (quarter-quarter, section, township, </w:t>
                  </w:r>
                  <w:proofErr w:type="gramStart"/>
                  <w:r w:rsidRPr="006275C1">
                    <w:rPr>
                      <w:rFonts w:ascii="Verdana" w:eastAsia="Times New Roman" w:hAnsi="Verdana" w:cs="Times New Roman"/>
                      <w:sz w:val="18"/>
                      <w:szCs w:val="18"/>
                    </w:rPr>
                    <w:t>range</w:t>
                  </w:r>
                  <w:proofErr w:type="gramEnd"/>
                  <w:r w:rsidRPr="006275C1">
                    <w:rPr>
                      <w:rFonts w:ascii="Verdana" w:eastAsia="Times New Roman" w:hAnsi="Verdana" w:cs="Times New Roman"/>
                      <w:sz w:val="18"/>
                      <w:szCs w:val="18"/>
                    </w:rPr>
                    <w:t>), source, amount of oil and amount of water, and disposal destination. Per 43 CFR 3162.7-1(f), these records must be maintained by the operator for a period of 6 years and will be provided to the Authorized Officer upon request.</w:t>
                  </w:r>
                </w:p>
                <w:p w:rsidR="006275C1" w:rsidRPr="006275C1" w:rsidRDefault="006275C1" w:rsidP="006275C1">
                  <w:pPr>
                    <w:spacing w:after="0" w:line="240" w:lineRule="auto"/>
                    <w:rPr>
                      <w:rFonts w:ascii="Verdana" w:eastAsia="Times New Roman" w:hAnsi="Verdana" w:cs="Times New Roman"/>
                      <w:sz w:val="18"/>
                      <w:szCs w:val="18"/>
                    </w:rPr>
                  </w:pPr>
                  <w:r w:rsidRPr="006275C1">
                    <w:rPr>
                      <w:rFonts w:ascii="Verdana" w:eastAsia="Times New Roman" w:hAnsi="Verdana" w:cs="Times New Roman"/>
                      <w:sz w:val="18"/>
                      <w:szCs w:val="18"/>
                    </w:rPr>
                    <w:pict>
                      <v:rect id="_x0000_i1037" style="width:0;height:1.5pt" o:hralign="center" o:hrstd="t" o:hr="t" fillcolor="gray" stroked="f"/>
                    </w:pict>
                  </w:r>
                </w:p>
                <w:tbl>
                  <w:tblPr>
                    <w:tblW w:w="0" w:type="auto"/>
                    <w:tblCellSpacing w:w="37" w:type="dxa"/>
                    <w:tblCellMar>
                      <w:top w:w="75" w:type="dxa"/>
                      <w:left w:w="75" w:type="dxa"/>
                      <w:bottom w:w="75" w:type="dxa"/>
                      <w:right w:w="75" w:type="dxa"/>
                    </w:tblCellMar>
                    <w:tblLook w:val="04A0" w:firstRow="1" w:lastRow="0" w:firstColumn="1" w:lastColumn="0" w:noHBand="0" w:noVBand="1"/>
                  </w:tblPr>
                  <w:tblGrid>
                    <w:gridCol w:w="1326"/>
                    <w:gridCol w:w="1530"/>
                    <w:gridCol w:w="2491"/>
                  </w:tblGrid>
                  <w:tr w:rsidR="006275C1" w:rsidRPr="006275C1">
                    <w:trPr>
                      <w:tblCellSpacing w:w="37" w:type="dxa"/>
                    </w:trPr>
                    <w:tc>
                      <w:tcPr>
                        <w:tcW w:w="0" w:type="auto"/>
                        <w:hideMark/>
                      </w:tcPr>
                      <w:p w:rsidR="006275C1" w:rsidRPr="006275C1" w:rsidRDefault="006275C1" w:rsidP="006275C1">
                        <w:pPr>
                          <w:spacing w:after="0" w:line="240" w:lineRule="auto"/>
                          <w:rPr>
                            <w:rFonts w:ascii="Verdana" w:eastAsia="Times New Roman" w:hAnsi="Verdana" w:cs="Times New Roman"/>
                            <w:sz w:val="18"/>
                            <w:szCs w:val="18"/>
                          </w:rPr>
                        </w:pPr>
                        <w:r w:rsidRPr="006275C1">
                          <w:rPr>
                            <w:rFonts w:ascii="Verdana" w:eastAsia="Times New Roman" w:hAnsi="Verdana" w:cs="Times New Roman"/>
                            <w:sz w:val="18"/>
                            <w:szCs w:val="18"/>
                          </w:rPr>
                          <w:t>APPROVED:</w:t>
                        </w:r>
                      </w:p>
                    </w:tc>
                    <w:tc>
                      <w:tcPr>
                        <w:tcW w:w="0" w:type="auto"/>
                        <w:hideMark/>
                      </w:tcPr>
                      <w:p w:rsidR="006275C1" w:rsidRPr="006275C1" w:rsidRDefault="006275C1" w:rsidP="006275C1">
                        <w:pPr>
                          <w:spacing w:after="0" w:line="240" w:lineRule="auto"/>
                          <w:rPr>
                            <w:rFonts w:ascii="Verdana" w:eastAsia="Times New Roman" w:hAnsi="Verdana" w:cs="Times New Roman"/>
                            <w:sz w:val="18"/>
                            <w:szCs w:val="18"/>
                          </w:rPr>
                        </w:pPr>
                        <w:r w:rsidRPr="006275C1">
                          <w:rPr>
                            <w:rFonts w:ascii="Verdana" w:eastAsia="Times New Roman" w:hAnsi="Verdana" w:cs="Times New Roman"/>
                            <w:sz w:val="18"/>
                            <w:szCs w:val="18"/>
                          </w:rPr>
                          <w:t>Date: 5-11-94</w:t>
                        </w:r>
                      </w:p>
                    </w:tc>
                    <w:tc>
                      <w:tcPr>
                        <w:tcW w:w="0" w:type="auto"/>
                        <w:vAlign w:val="center"/>
                        <w:hideMark/>
                      </w:tcPr>
                      <w:p w:rsidR="006275C1" w:rsidRPr="006275C1" w:rsidRDefault="006275C1" w:rsidP="006275C1">
                        <w:pPr>
                          <w:spacing w:after="0" w:line="240" w:lineRule="auto"/>
                          <w:rPr>
                            <w:rFonts w:ascii="Verdana" w:eastAsia="Times New Roman" w:hAnsi="Verdana" w:cs="Times New Roman"/>
                            <w:sz w:val="18"/>
                            <w:szCs w:val="18"/>
                          </w:rPr>
                        </w:pPr>
                        <w:r w:rsidRPr="006275C1">
                          <w:rPr>
                            <w:rFonts w:ascii="Verdana" w:eastAsia="Times New Roman" w:hAnsi="Verdana" w:cs="Times New Roman"/>
                            <w:sz w:val="18"/>
                            <w:szCs w:val="18"/>
                          </w:rPr>
                          <w:t>Leslie M. Cone</w:t>
                        </w:r>
                        <w:r w:rsidRPr="006275C1">
                          <w:rPr>
                            <w:rFonts w:ascii="Verdana" w:eastAsia="Times New Roman" w:hAnsi="Verdana" w:cs="Times New Roman"/>
                            <w:sz w:val="18"/>
                            <w:szCs w:val="18"/>
                          </w:rPr>
                          <w:br/>
                          <w:t>Roswell District Manager</w:t>
                        </w:r>
                      </w:p>
                    </w:tc>
                  </w:tr>
                </w:tbl>
                <w:p w:rsidR="006275C1" w:rsidRPr="006275C1" w:rsidRDefault="006275C1" w:rsidP="006275C1">
                  <w:pPr>
                    <w:spacing w:before="100" w:beforeAutospacing="1" w:after="100" w:afterAutospacing="1" w:line="240" w:lineRule="auto"/>
                    <w:rPr>
                      <w:rFonts w:ascii="Verdana" w:eastAsia="Times New Roman" w:hAnsi="Verdana" w:cs="Times New Roman"/>
                      <w:sz w:val="18"/>
                      <w:szCs w:val="18"/>
                    </w:rPr>
                  </w:pPr>
                  <w:r w:rsidRPr="006275C1">
                    <w:rPr>
                      <w:rFonts w:ascii="Verdana" w:eastAsia="Times New Roman" w:hAnsi="Verdana" w:cs="Times New Roman"/>
                      <w:sz w:val="18"/>
                      <w:szCs w:val="18"/>
                    </w:rPr>
                    <w:t> </w:t>
                  </w:r>
                </w:p>
              </w:tc>
            </w:tr>
          </w:tbl>
          <w:p w:rsidR="006275C1" w:rsidRPr="006275C1" w:rsidRDefault="006275C1" w:rsidP="006275C1">
            <w:pPr>
              <w:spacing w:after="0" w:line="240" w:lineRule="auto"/>
              <w:jc w:val="center"/>
              <w:rPr>
                <w:rFonts w:ascii="Verdana" w:eastAsia="Times New Roman" w:hAnsi="Verdana" w:cs="Times New Roman"/>
                <w:sz w:val="18"/>
                <w:szCs w:val="18"/>
              </w:rPr>
            </w:pPr>
          </w:p>
        </w:tc>
      </w:tr>
    </w:tbl>
    <w:p w:rsidR="000741D2" w:rsidRDefault="000741D2">
      <w:bookmarkStart w:id="0" w:name="_GoBack"/>
      <w:bookmarkEnd w:id="0"/>
    </w:p>
    <w:sectPr w:rsidR="000741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75C1"/>
    <w:rsid w:val="000741D2"/>
    <w:rsid w:val="006275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6275C1"/>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5">
    <w:name w:val="heading 5"/>
    <w:basedOn w:val="Normal"/>
    <w:link w:val="Heading5Char"/>
    <w:uiPriority w:val="9"/>
    <w:qFormat/>
    <w:rsid w:val="006275C1"/>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275C1"/>
    <w:rPr>
      <w:rFonts w:ascii="Times New Roman" w:eastAsia="Times New Roman" w:hAnsi="Times New Roman" w:cs="Times New Roman"/>
      <w:b/>
      <w:bCs/>
      <w:sz w:val="36"/>
      <w:szCs w:val="36"/>
    </w:rPr>
  </w:style>
  <w:style w:type="character" w:customStyle="1" w:styleId="Heading5Char">
    <w:name w:val="Heading 5 Char"/>
    <w:basedOn w:val="DefaultParagraphFont"/>
    <w:link w:val="Heading5"/>
    <w:uiPriority w:val="9"/>
    <w:rsid w:val="006275C1"/>
    <w:rPr>
      <w:rFonts w:ascii="Times New Roman" w:eastAsia="Times New Roman" w:hAnsi="Times New Roman" w:cs="Times New Roman"/>
      <w:b/>
      <w:bCs/>
      <w:sz w:val="20"/>
      <w:szCs w:val="20"/>
    </w:rPr>
  </w:style>
  <w:style w:type="character" w:styleId="Hyperlink">
    <w:name w:val="Hyperlink"/>
    <w:basedOn w:val="DefaultParagraphFont"/>
    <w:uiPriority w:val="99"/>
    <w:semiHidden/>
    <w:unhideWhenUsed/>
    <w:rsid w:val="006275C1"/>
    <w:rPr>
      <w:color w:val="0000FF"/>
      <w:u w:val="single"/>
    </w:rPr>
  </w:style>
  <w:style w:type="character" w:customStyle="1" w:styleId="apple-converted-space">
    <w:name w:val="apple-converted-space"/>
    <w:basedOn w:val="DefaultParagraphFont"/>
    <w:rsid w:val="006275C1"/>
  </w:style>
  <w:style w:type="paragraph" w:styleId="NormalWeb">
    <w:name w:val="Normal (Web)"/>
    <w:basedOn w:val="Normal"/>
    <w:uiPriority w:val="99"/>
    <w:unhideWhenUsed/>
    <w:rsid w:val="006275C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275C1"/>
    <w:rPr>
      <w:b/>
      <w:bCs/>
    </w:rPr>
  </w:style>
  <w:style w:type="paragraph" w:styleId="BalloonText">
    <w:name w:val="Balloon Text"/>
    <w:basedOn w:val="Normal"/>
    <w:link w:val="BalloonTextChar"/>
    <w:uiPriority w:val="99"/>
    <w:semiHidden/>
    <w:unhideWhenUsed/>
    <w:rsid w:val="006275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75C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6275C1"/>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5">
    <w:name w:val="heading 5"/>
    <w:basedOn w:val="Normal"/>
    <w:link w:val="Heading5Char"/>
    <w:uiPriority w:val="9"/>
    <w:qFormat/>
    <w:rsid w:val="006275C1"/>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275C1"/>
    <w:rPr>
      <w:rFonts w:ascii="Times New Roman" w:eastAsia="Times New Roman" w:hAnsi="Times New Roman" w:cs="Times New Roman"/>
      <w:b/>
      <w:bCs/>
      <w:sz w:val="36"/>
      <w:szCs w:val="36"/>
    </w:rPr>
  </w:style>
  <w:style w:type="character" w:customStyle="1" w:styleId="Heading5Char">
    <w:name w:val="Heading 5 Char"/>
    <w:basedOn w:val="DefaultParagraphFont"/>
    <w:link w:val="Heading5"/>
    <w:uiPriority w:val="9"/>
    <w:rsid w:val="006275C1"/>
    <w:rPr>
      <w:rFonts w:ascii="Times New Roman" w:eastAsia="Times New Roman" w:hAnsi="Times New Roman" w:cs="Times New Roman"/>
      <w:b/>
      <w:bCs/>
      <w:sz w:val="20"/>
      <w:szCs w:val="20"/>
    </w:rPr>
  </w:style>
  <w:style w:type="character" w:styleId="Hyperlink">
    <w:name w:val="Hyperlink"/>
    <w:basedOn w:val="DefaultParagraphFont"/>
    <w:uiPriority w:val="99"/>
    <w:semiHidden/>
    <w:unhideWhenUsed/>
    <w:rsid w:val="006275C1"/>
    <w:rPr>
      <w:color w:val="0000FF"/>
      <w:u w:val="single"/>
    </w:rPr>
  </w:style>
  <w:style w:type="character" w:customStyle="1" w:styleId="apple-converted-space">
    <w:name w:val="apple-converted-space"/>
    <w:basedOn w:val="DefaultParagraphFont"/>
    <w:rsid w:val="006275C1"/>
  </w:style>
  <w:style w:type="paragraph" w:styleId="NormalWeb">
    <w:name w:val="Normal (Web)"/>
    <w:basedOn w:val="Normal"/>
    <w:uiPriority w:val="99"/>
    <w:unhideWhenUsed/>
    <w:rsid w:val="006275C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275C1"/>
    <w:rPr>
      <w:b/>
      <w:bCs/>
    </w:rPr>
  </w:style>
  <w:style w:type="paragraph" w:styleId="BalloonText">
    <w:name w:val="Balloon Text"/>
    <w:basedOn w:val="Normal"/>
    <w:link w:val="BalloonTextChar"/>
    <w:uiPriority w:val="99"/>
    <w:semiHidden/>
    <w:unhideWhenUsed/>
    <w:rsid w:val="006275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75C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612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lm.gov/nm/st/en/prog/energy.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blm.gov/nm/st/en.html"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hyperlink" Target="https://www.blm.gov/nm/st/en/prog/energy/oil_and_gas/notice_to_lessees/ntl_94-1rdo.print.html" TargetMode="External"/><Relationship Id="rId5" Type="http://schemas.openxmlformats.org/officeDocument/2006/relationships/hyperlink" Target="https://www.blm.gov/wo/st/en.html" TargetMode="External"/><Relationship Id="rId10" Type="http://schemas.openxmlformats.org/officeDocument/2006/relationships/hyperlink" Target="https://www.blm.gov/nm/st/en/prog/energy/oil_and_gas/notice_to_lessees.html" TargetMode="External"/><Relationship Id="rId4" Type="http://schemas.openxmlformats.org/officeDocument/2006/relationships/webSettings" Target="webSettings.xml"/><Relationship Id="rId9" Type="http://schemas.openxmlformats.org/officeDocument/2006/relationships/hyperlink" Target="https://www.blm.gov/nm/st/en/prog/energy/oil_and_ga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631</Words>
  <Characters>3600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Bureau of Land Management</Company>
  <LinksUpToDate>false</LinksUpToDate>
  <CharactersWithSpaces>4223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Sturdevant, Noell M</dc:creator>
  <cp:lastModifiedBy>Sturdevant, Noell M</cp:lastModifiedBy>
  <cp:revision>1</cp:revision>
  <dcterms:created xsi:type="dcterms:W3CDTF">2017-02-09T20:35:00Z</dcterms:created>
  <dcterms:modified xsi:type="dcterms:W3CDTF">2017-02-09T20:36:00Z</dcterms:modified>
</cp:coreProperties>
</file>