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FF45D" w14:textId="6CFB57F9" w:rsidR="00C13A84" w:rsidRPr="0049439A" w:rsidRDefault="006B2B6D" w:rsidP="006B2B6D">
      <w:pPr>
        <w:spacing w:after="0" w:line="240" w:lineRule="auto"/>
        <w:rPr>
          <w:rFonts w:ascii="Times New Roman" w:hAnsi="Times New Roman" w:cs="Times New Roman"/>
          <w:b/>
          <w:sz w:val="24"/>
          <w:szCs w:val="24"/>
        </w:rPr>
      </w:pPr>
      <w:bookmarkStart w:id="0" w:name="_GoBack"/>
      <w:bookmarkEnd w:id="0"/>
      <w:r>
        <w:rPr>
          <w:noProof/>
        </w:rPr>
        <w:drawing>
          <wp:inline distT="0" distB="0" distL="0" distR="0" wp14:anchorId="3935DDFF" wp14:editId="132A6348">
            <wp:extent cx="5943600" cy="694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_truncated_topo_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694055"/>
                    </a:xfrm>
                    <a:prstGeom prst="rect">
                      <a:avLst/>
                    </a:prstGeom>
                  </pic:spPr>
                </pic:pic>
              </a:graphicData>
            </a:graphic>
          </wp:inline>
        </w:drawing>
      </w:r>
      <w:r w:rsidRPr="006B2B6D">
        <w:rPr>
          <w:rFonts w:ascii="Roboto" w:hAnsi="Roboto"/>
          <w:b/>
          <w:sz w:val="80"/>
          <w:szCs w:val="80"/>
        </w:rPr>
        <w:t xml:space="preserve"> </w:t>
      </w:r>
      <w:r>
        <w:rPr>
          <w:rFonts w:ascii="Roboto" w:hAnsi="Roboto"/>
          <w:b/>
          <w:sz w:val="80"/>
          <w:szCs w:val="80"/>
        </w:rPr>
        <w:t>Fact Sheet</w:t>
      </w:r>
      <w:r w:rsidR="00A94BB2">
        <w:rPr>
          <w:rFonts w:ascii="Roboto" w:hAnsi="Roboto"/>
          <w:sz w:val="28"/>
          <w:szCs w:val="28"/>
        </w:rPr>
        <w:t xml:space="preserve">  </w:t>
      </w:r>
      <w:r w:rsidR="00A94BB2" w:rsidRPr="000B5F61">
        <w:rPr>
          <w:rFonts w:ascii="Roboto" w:hAnsi="Roboto"/>
          <w:sz w:val="32"/>
          <w:szCs w:val="28"/>
        </w:rPr>
        <w:t>Solar</w:t>
      </w:r>
      <w:r w:rsidR="00BC6A69">
        <w:rPr>
          <w:rFonts w:ascii="Roboto" w:hAnsi="Roboto"/>
          <w:sz w:val="32"/>
          <w:szCs w:val="28"/>
        </w:rPr>
        <w:t xml:space="preserve"> and Wind</w:t>
      </w:r>
      <w:r w:rsidR="00A94BB2" w:rsidRPr="000B5F61">
        <w:rPr>
          <w:rFonts w:ascii="Roboto" w:hAnsi="Roboto"/>
          <w:sz w:val="32"/>
          <w:szCs w:val="28"/>
        </w:rPr>
        <w:t xml:space="preserve"> Rule</w:t>
      </w:r>
      <w:r w:rsidR="00A94BB2">
        <w:rPr>
          <w:rFonts w:ascii="Roboto" w:hAnsi="Roboto"/>
          <w:sz w:val="28"/>
          <w:szCs w:val="28"/>
        </w:rPr>
        <w:t xml:space="preserve"> </w:t>
      </w:r>
    </w:p>
    <w:p w14:paraId="114E8621" w14:textId="47CBD43F" w:rsidR="00EE462E" w:rsidRPr="00052565" w:rsidRDefault="00A02169" w:rsidP="00DD18FF">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November </w:t>
      </w:r>
      <w:r w:rsidR="001F31CA">
        <w:rPr>
          <w:rFonts w:ascii="Times New Roman" w:hAnsi="Times New Roman" w:cs="Times New Roman"/>
          <w:b/>
          <w:i/>
          <w:sz w:val="24"/>
          <w:szCs w:val="24"/>
        </w:rPr>
        <w:t>10</w:t>
      </w:r>
      <w:r w:rsidR="00EE462E" w:rsidRPr="00052565">
        <w:rPr>
          <w:rFonts w:ascii="Times New Roman" w:hAnsi="Times New Roman" w:cs="Times New Roman"/>
          <w:b/>
          <w:i/>
          <w:sz w:val="24"/>
          <w:szCs w:val="24"/>
        </w:rPr>
        <w:t>, 2016</w:t>
      </w:r>
    </w:p>
    <w:p w14:paraId="3AC34C3E" w14:textId="1FF6506A" w:rsidR="00581399" w:rsidRDefault="00C8317C" w:rsidP="001F31CA">
      <w:pPr>
        <w:tabs>
          <w:tab w:val="left" w:pos="6371"/>
        </w:tabs>
        <w:spacing w:after="0"/>
        <w:rPr>
          <w:rFonts w:ascii="Times New Roman" w:hAnsi="Times New Roman" w:cs="Times New Roman"/>
          <w:b/>
          <w:sz w:val="24"/>
          <w:szCs w:val="24"/>
        </w:rPr>
      </w:pPr>
      <w:r>
        <w:rPr>
          <w:rFonts w:ascii="Times New Roman" w:hAnsi="Times New Roman" w:cs="Times New Roman"/>
          <w:b/>
          <w:sz w:val="24"/>
          <w:szCs w:val="24"/>
        </w:rPr>
        <w:tab/>
      </w:r>
    </w:p>
    <w:p w14:paraId="2A9183B4" w14:textId="0E27452B" w:rsidR="00C23C1E" w:rsidRDefault="00581399" w:rsidP="001F31CA">
      <w:pPr>
        <w:spacing w:after="0" w:line="240" w:lineRule="auto"/>
        <w:rPr>
          <w:rFonts w:ascii="Times New Roman" w:hAnsi="Times New Roman" w:cs="Times New Roman"/>
          <w:sz w:val="24"/>
          <w:szCs w:val="24"/>
        </w:rPr>
      </w:pPr>
      <w:r w:rsidRPr="00CF70E9">
        <w:rPr>
          <w:rFonts w:ascii="Times New Roman" w:hAnsi="Times New Roman" w:cs="Times New Roman"/>
          <w:sz w:val="24"/>
          <w:szCs w:val="24"/>
        </w:rPr>
        <w:t xml:space="preserve">The </w:t>
      </w:r>
      <w:r w:rsidR="00C23C1E">
        <w:rPr>
          <w:rFonts w:ascii="Times New Roman" w:hAnsi="Times New Roman" w:cs="Times New Roman"/>
          <w:sz w:val="24"/>
          <w:szCs w:val="24"/>
        </w:rPr>
        <w:t>Bureau of Land Management’s (</w:t>
      </w:r>
      <w:r w:rsidRPr="00CF70E9">
        <w:rPr>
          <w:rFonts w:ascii="Times New Roman" w:hAnsi="Times New Roman" w:cs="Times New Roman"/>
          <w:sz w:val="24"/>
          <w:szCs w:val="24"/>
        </w:rPr>
        <w:t>BLM</w:t>
      </w:r>
      <w:r w:rsidR="00C23C1E">
        <w:rPr>
          <w:rFonts w:ascii="Times New Roman" w:hAnsi="Times New Roman" w:cs="Times New Roman"/>
          <w:sz w:val="24"/>
          <w:szCs w:val="24"/>
        </w:rPr>
        <w:t>)</w:t>
      </w:r>
      <w:r w:rsidRPr="00CF70E9">
        <w:rPr>
          <w:rFonts w:ascii="Times New Roman" w:hAnsi="Times New Roman" w:cs="Times New Roman"/>
          <w:sz w:val="24"/>
          <w:szCs w:val="24"/>
        </w:rPr>
        <w:t xml:space="preserve"> final </w:t>
      </w:r>
      <w:r w:rsidR="001F31CA">
        <w:rPr>
          <w:rFonts w:ascii="Times New Roman" w:hAnsi="Times New Roman" w:cs="Times New Roman"/>
          <w:sz w:val="24"/>
          <w:szCs w:val="24"/>
        </w:rPr>
        <w:t>Solar</w:t>
      </w:r>
      <w:r w:rsidR="00BC6A69">
        <w:rPr>
          <w:rFonts w:ascii="Times New Roman" w:hAnsi="Times New Roman" w:cs="Times New Roman"/>
          <w:sz w:val="24"/>
          <w:szCs w:val="24"/>
        </w:rPr>
        <w:t xml:space="preserve"> and Wind</w:t>
      </w:r>
      <w:r w:rsidR="001F31CA">
        <w:rPr>
          <w:rFonts w:ascii="Times New Roman" w:hAnsi="Times New Roman" w:cs="Times New Roman"/>
          <w:sz w:val="24"/>
          <w:szCs w:val="24"/>
        </w:rPr>
        <w:t xml:space="preserve"> R</w:t>
      </w:r>
      <w:r w:rsidRPr="00CF70E9">
        <w:rPr>
          <w:rFonts w:ascii="Times New Roman" w:hAnsi="Times New Roman" w:cs="Times New Roman"/>
          <w:sz w:val="24"/>
          <w:szCs w:val="24"/>
        </w:rPr>
        <w:t>ule</w:t>
      </w:r>
      <w:r w:rsidRPr="00CF70E9">
        <w:rPr>
          <w:rFonts w:ascii="Times New Roman" w:hAnsi="Times New Roman" w:cs="Times New Roman"/>
          <w:b/>
          <w:sz w:val="24"/>
          <w:szCs w:val="24"/>
        </w:rPr>
        <w:t xml:space="preserve"> </w:t>
      </w:r>
      <w:r w:rsidR="00A02169" w:rsidRPr="00CF70E9">
        <w:rPr>
          <w:rFonts w:ascii="Times New Roman" w:eastAsia="MS Mincho" w:hAnsi="Times New Roman" w:cs="Times New Roman"/>
          <w:sz w:val="24"/>
          <w:szCs w:val="24"/>
        </w:rPr>
        <w:t xml:space="preserve">will </w:t>
      </w:r>
      <w:r w:rsidRPr="00CF70E9">
        <w:rPr>
          <w:rFonts w:ascii="Times New Roman" w:hAnsi="Times New Roman" w:cs="Times New Roman"/>
          <w:sz w:val="24"/>
          <w:szCs w:val="24"/>
        </w:rPr>
        <w:t>facilitate responsible solar and</w:t>
      </w:r>
      <w:r w:rsidR="00A02169" w:rsidRPr="00CF70E9">
        <w:rPr>
          <w:rFonts w:ascii="Times New Roman" w:hAnsi="Times New Roman" w:cs="Times New Roman"/>
          <w:sz w:val="24"/>
          <w:szCs w:val="24"/>
        </w:rPr>
        <w:t xml:space="preserve"> wind energy development </w:t>
      </w:r>
      <w:r w:rsidR="00C8317C">
        <w:rPr>
          <w:rFonts w:ascii="Times New Roman" w:hAnsi="Times New Roman" w:cs="Times New Roman"/>
          <w:sz w:val="24"/>
          <w:szCs w:val="24"/>
        </w:rPr>
        <w:t xml:space="preserve">on public lands </w:t>
      </w:r>
      <w:r w:rsidR="00A02169" w:rsidRPr="00CF70E9">
        <w:rPr>
          <w:rFonts w:ascii="Times New Roman" w:hAnsi="Times New Roman" w:cs="Times New Roman"/>
          <w:sz w:val="24"/>
          <w:szCs w:val="24"/>
        </w:rPr>
        <w:t xml:space="preserve">and </w:t>
      </w:r>
      <w:r w:rsidRPr="00CF70E9">
        <w:rPr>
          <w:rFonts w:ascii="Times New Roman" w:hAnsi="Times New Roman" w:cs="Times New Roman"/>
          <w:sz w:val="24"/>
          <w:szCs w:val="24"/>
        </w:rPr>
        <w:t xml:space="preserve">ensure that American taxpayers receive </w:t>
      </w:r>
      <w:r w:rsidR="00C8317C">
        <w:rPr>
          <w:rFonts w:ascii="Times New Roman" w:hAnsi="Times New Roman" w:cs="Times New Roman"/>
          <w:sz w:val="24"/>
          <w:szCs w:val="24"/>
        </w:rPr>
        <w:t xml:space="preserve">a </w:t>
      </w:r>
      <w:r w:rsidRPr="00CF70E9">
        <w:rPr>
          <w:rFonts w:ascii="Times New Roman" w:hAnsi="Times New Roman" w:cs="Times New Roman"/>
          <w:sz w:val="24"/>
          <w:szCs w:val="24"/>
        </w:rPr>
        <w:t xml:space="preserve">fair </w:t>
      </w:r>
      <w:r w:rsidR="00A02169" w:rsidRPr="00CF70E9">
        <w:rPr>
          <w:rFonts w:ascii="Times New Roman" w:hAnsi="Times New Roman" w:cs="Times New Roman"/>
          <w:sz w:val="24"/>
          <w:szCs w:val="24"/>
        </w:rPr>
        <w:t xml:space="preserve">return </w:t>
      </w:r>
      <w:r w:rsidR="00C23C1E">
        <w:rPr>
          <w:rFonts w:ascii="Times New Roman" w:hAnsi="Times New Roman" w:cs="Times New Roman"/>
          <w:sz w:val="24"/>
          <w:szCs w:val="24"/>
        </w:rPr>
        <w:t>from</w:t>
      </w:r>
      <w:r w:rsidR="00C23C1E" w:rsidRPr="00CF70E9">
        <w:rPr>
          <w:rFonts w:ascii="Times New Roman" w:hAnsi="Times New Roman" w:cs="Times New Roman"/>
          <w:sz w:val="24"/>
          <w:szCs w:val="24"/>
        </w:rPr>
        <w:t xml:space="preserve"> </w:t>
      </w:r>
      <w:r w:rsidRPr="00CF70E9">
        <w:rPr>
          <w:rFonts w:ascii="Times New Roman" w:hAnsi="Times New Roman" w:cs="Times New Roman"/>
          <w:sz w:val="24"/>
          <w:szCs w:val="24"/>
        </w:rPr>
        <w:t>the use of</w:t>
      </w:r>
      <w:r w:rsidR="00C23C1E">
        <w:rPr>
          <w:rFonts w:ascii="Times New Roman" w:hAnsi="Times New Roman" w:cs="Times New Roman"/>
          <w:sz w:val="24"/>
          <w:szCs w:val="24"/>
        </w:rPr>
        <w:t xml:space="preserve"> </w:t>
      </w:r>
      <w:r w:rsidR="001F31CA">
        <w:rPr>
          <w:rFonts w:ascii="Times New Roman" w:hAnsi="Times New Roman" w:cs="Times New Roman"/>
          <w:sz w:val="24"/>
          <w:szCs w:val="24"/>
        </w:rPr>
        <w:t xml:space="preserve">those </w:t>
      </w:r>
      <w:r w:rsidRPr="00CF70E9">
        <w:rPr>
          <w:rFonts w:ascii="Times New Roman" w:hAnsi="Times New Roman" w:cs="Times New Roman"/>
          <w:sz w:val="24"/>
          <w:szCs w:val="24"/>
        </w:rPr>
        <w:t>resources</w:t>
      </w:r>
      <w:r w:rsidR="00A02169" w:rsidRPr="00CF70E9">
        <w:rPr>
          <w:rFonts w:ascii="Times New Roman" w:hAnsi="Times New Roman" w:cs="Times New Roman"/>
          <w:sz w:val="24"/>
          <w:szCs w:val="24"/>
        </w:rPr>
        <w:t xml:space="preserve">. </w:t>
      </w:r>
      <w:r w:rsidRPr="00CF70E9">
        <w:rPr>
          <w:rFonts w:ascii="Times New Roman" w:hAnsi="Times New Roman" w:cs="Times New Roman"/>
          <w:sz w:val="24"/>
          <w:szCs w:val="24"/>
        </w:rPr>
        <w:t xml:space="preserve"> </w:t>
      </w:r>
      <w:r w:rsidR="001F31CA">
        <w:rPr>
          <w:rFonts w:ascii="Times New Roman" w:hAnsi="Times New Roman" w:cs="Times New Roman"/>
          <w:sz w:val="24"/>
          <w:szCs w:val="24"/>
        </w:rPr>
        <w:t>Among other things, t</w:t>
      </w:r>
      <w:r w:rsidR="00A02169" w:rsidRPr="00CF70E9">
        <w:rPr>
          <w:rFonts w:ascii="Times New Roman" w:hAnsi="Times New Roman" w:cs="Times New Roman"/>
          <w:sz w:val="24"/>
          <w:szCs w:val="24"/>
        </w:rPr>
        <w:t>he rule</w:t>
      </w:r>
      <w:r w:rsidR="00C8317C">
        <w:rPr>
          <w:rFonts w:ascii="Times New Roman" w:hAnsi="Times New Roman" w:cs="Times New Roman"/>
          <w:sz w:val="24"/>
          <w:szCs w:val="24"/>
        </w:rPr>
        <w:t xml:space="preserve"> </w:t>
      </w:r>
      <w:r w:rsidR="00A02169" w:rsidRPr="00CF70E9">
        <w:rPr>
          <w:rFonts w:ascii="Times New Roman" w:hAnsi="Times New Roman" w:cs="Times New Roman"/>
          <w:sz w:val="24"/>
          <w:szCs w:val="24"/>
        </w:rPr>
        <w:t>streamline</w:t>
      </w:r>
      <w:r w:rsidR="008C1AE1">
        <w:rPr>
          <w:rFonts w:ascii="Times New Roman" w:hAnsi="Times New Roman" w:cs="Times New Roman"/>
          <w:sz w:val="24"/>
          <w:szCs w:val="24"/>
        </w:rPr>
        <w:t>s</w:t>
      </w:r>
      <w:r w:rsidR="00A02169" w:rsidRPr="00CF70E9">
        <w:rPr>
          <w:rFonts w:ascii="Times New Roman" w:hAnsi="Times New Roman" w:cs="Times New Roman"/>
          <w:sz w:val="24"/>
          <w:szCs w:val="24"/>
        </w:rPr>
        <w:t xml:space="preserve"> review process</w:t>
      </w:r>
      <w:r w:rsidR="001F31CA">
        <w:rPr>
          <w:rFonts w:ascii="Times New Roman" w:hAnsi="Times New Roman" w:cs="Times New Roman"/>
          <w:sz w:val="24"/>
          <w:szCs w:val="24"/>
        </w:rPr>
        <w:t>es</w:t>
      </w:r>
      <w:r w:rsidR="00A02169" w:rsidRPr="00CF70E9">
        <w:rPr>
          <w:rFonts w:ascii="Times New Roman" w:hAnsi="Times New Roman" w:cs="Times New Roman"/>
          <w:sz w:val="24"/>
          <w:szCs w:val="24"/>
        </w:rPr>
        <w:t xml:space="preserve"> and </w:t>
      </w:r>
      <w:r w:rsidR="00C8317C">
        <w:rPr>
          <w:rFonts w:ascii="Times New Roman" w:hAnsi="Times New Roman" w:cs="Times New Roman"/>
          <w:sz w:val="24"/>
          <w:szCs w:val="24"/>
        </w:rPr>
        <w:t>provide</w:t>
      </w:r>
      <w:r w:rsidR="008C1AE1">
        <w:rPr>
          <w:rFonts w:ascii="Times New Roman" w:hAnsi="Times New Roman" w:cs="Times New Roman"/>
          <w:sz w:val="24"/>
          <w:szCs w:val="24"/>
        </w:rPr>
        <w:t>s</w:t>
      </w:r>
      <w:r w:rsidR="00C8317C">
        <w:rPr>
          <w:rFonts w:ascii="Times New Roman" w:hAnsi="Times New Roman" w:cs="Times New Roman"/>
          <w:sz w:val="24"/>
          <w:szCs w:val="24"/>
        </w:rPr>
        <w:t xml:space="preserve"> financial incentives </w:t>
      </w:r>
      <w:r w:rsidR="001F31CA">
        <w:rPr>
          <w:rFonts w:ascii="Times New Roman" w:hAnsi="Times New Roman" w:cs="Times New Roman"/>
          <w:sz w:val="24"/>
          <w:szCs w:val="24"/>
        </w:rPr>
        <w:t xml:space="preserve">designed to encourage </w:t>
      </w:r>
      <w:r w:rsidR="00C23C1E">
        <w:rPr>
          <w:rFonts w:ascii="Times New Roman" w:hAnsi="Times New Roman" w:cs="Times New Roman"/>
          <w:sz w:val="24"/>
          <w:szCs w:val="24"/>
        </w:rPr>
        <w:t>development within designated leasing areas</w:t>
      </w:r>
      <w:r w:rsidR="001F31CA">
        <w:rPr>
          <w:rFonts w:ascii="Times New Roman" w:hAnsi="Times New Roman" w:cs="Times New Roman"/>
          <w:sz w:val="24"/>
          <w:szCs w:val="24"/>
        </w:rPr>
        <w:t xml:space="preserve"> (DLAs)</w:t>
      </w:r>
      <w:r w:rsidR="00A02169" w:rsidRPr="00CF70E9">
        <w:rPr>
          <w:rFonts w:ascii="Times New Roman" w:hAnsi="Times New Roman" w:cs="Times New Roman"/>
          <w:sz w:val="24"/>
          <w:szCs w:val="24"/>
        </w:rPr>
        <w:t xml:space="preserve">.  </w:t>
      </w:r>
      <w:r w:rsidRPr="00CF70E9">
        <w:rPr>
          <w:rFonts w:ascii="Times New Roman" w:hAnsi="Times New Roman" w:cs="Times New Roman"/>
          <w:sz w:val="24"/>
          <w:szCs w:val="24"/>
        </w:rPr>
        <w:t>To</w:t>
      </w:r>
      <w:r w:rsidR="00C23C1E">
        <w:rPr>
          <w:rFonts w:ascii="Times New Roman" w:hAnsi="Times New Roman" w:cs="Times New Roman"/>
          <w:sz w:val="24"/>
          <w:szCs w:val="24"/>
        </w:rPr>
        <w:t xml:space="preserve"> achieve these objectives</w:t>
      </w:r>
      <w:r w:rsidRPr="00CF70E9">
        <w:rPr>
          <w:rFonts w:ascii="Times New Roman" w:hAnsi="Times New Roman" w:cs="Times New Roman"/>
          <w:sz w:val="24"/>
          <w:szCs w:val="24"/>
        </w:rPr>
        <w:t xml:space="preserve">, the rule makes a number of improvements and </w:t>
      </w:r>
      <w:r w:rsidR="00C23C1E">
        <w:rPr>
          <w:rFonts w:ascii="Times New Roman" w:hAnsi="Times New Roman" w:cs="Times New Roman"/>
          <w:sz w:val="24"/>
          <w:szCs w:val="24"/>
        </w:rPr>
        <w:t xml:space="preserve">refinements </w:t>
      </w:r>
      <w:r w:rsidRPr="00CF70E9">
        <w:rPr>
          <w:rFonts w:ascii="Times New Roman" w:hAnsi="Times New Roman" w:cs="Times New Roman"/>
          <w:sz w:val="24"/>
          <w:szCs w:val="24"/>
        </w:rPr>
        <w:t xml:space="preserve">to existing </w:t>
      </w:r>
      <w:r w:rsidR="00C8317C">
        <w:rPr>
          <w:rFonts w:ascii="Times New Roman" w:hAnsi="Times New Roman" w:cs="Times New Roman"/>
          <w:sz w:val="24"/>
          <w:szCs w:val="24"/>
        </w:rPr>
        <w:t>policies and regulations</w:t>
      </w:r>
      <w:r w:rsidR="00C8317C" w:rsidRPr="00C8317C">
        <w:rPr>
          <w:rFonts w:ascii="Times New Roman" w:hAnsi="Times New Roman" w:cs="Times New Roman"/>
          <w:sz w:val="24"/>
          <w:szCs w:val="24"/>
        </w:rPr>
        <w:t xml:space="preserve"> </w:t>
      </w:r>
      <w:r w:rsidR="00C8317C">
        <w:rPr>
          <w:rFonts w:ascii="Times New Roman" w:hAnsi="Times New Roman" w:cs="Times New Roman"/>
          <w:sz w:val="24"/>
          <w:szCs w:val="24"/>
        </w:rPr>
        <w:t>governing the BLM’s renewable energy program.</w:t>
      </w:r>
    </w:p>
    <w:p w14:paraId="1B709954" w14:textId="77777777" w:rsidR="00C23C1E" w:rsidRDefault="00C23C1E" w:rsidP="001F31CA">
      <w:pPr>
        <w:spacing w:after="0" w:line="240" w:lineRule="auto"/>
        <w:jc w:val="center"/>
        <w:rPr>
          <w:rFonts w:ascii="Times New Roman" w:hAnsi="Times New Roman" w:cs="Times New Roman"/>
          <w:sz w:val="24"/>
          <w:szCs w:val="24"/>
        </w:rPr>
      </w:pPr>
    </w:p>
    <w:p w14:paraId="406AD954" w14:textId="093AD597" w:rsidR="00B56A2F" w:rsidRPr="0006024E" w:rsidRDefault="00C23C1E" w:rsidP="001F31CA">
      <w:pPr>
        <w:spacing w:after="0" w:line="240" w:lineRule="auto"/>
        <w:rPr>
          <w:rFonts w:ascii="Times New Roman" w:eastAsia="Georgia" w:hAnsi="Times New Roman" w:cs="Times New Roman"/>
          <w:sz w:val="24"/>
          <w:szCs w:val="24"/>
        </w:rPr>
      </w:pPr>
      <w:r>
        <w:rPr>
          <w:rFonts w:ascii="Times New Roman" w:eastAsia="Georgia" w:hAnsi="Times New Roman" w:cs="Times New Roman"/>
          <w:sz w:val="24"/>
          <w:szCs w:val="24"/>
        </w:rPr>
        <w:t>The</w:t>
      </w:r>
      <w:r w:rsidRPr="00CF70E9">
        <w:rPr>
          <w:rFonts w:ascii="Times New Roman" w:eastAsia="Georgia" w:hAnsi="Times New Roman" w:cs="Times New Roman"/>
          <w:sz w:val="24"/>
          <w:szCs w:val="24"/>
        </w:rPr>
        <w:t xml:space="preserve"> </w:t>
      </w:r>
      <w:r w:rsidR="00A94BB2" w:rsidRPr="00CF70E9">
        <w:rPr>
          <w:rFonts w:ascii="Times New Roman" w:eastAsia="Georgia" w:hAnsi="Times New Roman" w:cs="Times New Roman"/>
          <w:sz w:val="24"/>
          <w:szCs w:val="24"/>
        </w:rPr>
        <w:t>rule is called</w:t>
      </w:r>
      <w:r w:rsidR="00A94BB2" w:rsidRPr="00CF70E9">
        <w:rPr>
          <w:rFonts w:ascii="Times New Roman" w:eastAsia="Georgia" w:hAnsi="Times New Roman" w:cs="Times New Roman"/>
          <w:b/>
          <w:sz w:val="24"/>
          <w:szCs w:val="24"/>
        </w:rPr>
        <w:t xml:space="preserve"> </w:t>
      </w:r>
      <w:r>
        <w:rPr>
          <w:rFonts w:ascii="Times New Roman" w:eastAsia="Georgia" w:hAnsi="Times New Roman" w:cs="Times New Roman"/>
          <w:b/>
          <w:sz w:val="24"/>
          <w:szCs w:val="24"/>
        </w:rPr>
        <w:t>“</w:t>
      </w:r>
      <w:r w:rsidR="00295E35" w:rsidRPr="00CF70E9">
        <w:rPr>
          <w:rFonts w:ascii="Times New Roman" w:eastAsia="Georgia" w:hAnsi="Times New Roman" w:cs="Times New Roman"/>
          <w:sz w:val="24"/>
          <w:szCs w:val="24"/>
        </w:rPr>
        <w:t>Competitive Processes, Terms, and Conditions for Leasing Public Lands for Solar and Wind Energy Development and Technical Changes and Corrections for 43 CFR Parts 2800 and 2880</w:t>
      </w:r>
      <w:r w:rsidR="00A94BB2" w:rsidRPr="0006024E">
        <w:rPr>
          <w:rFonts w:ascii="Times New Roman" w:eastAsia="Georgia" w:hAnsi="Times New Roman" w:cs="Times New Roman"/>
          <w:sz w:val="24"/>
          <w:szCs w:val="24"/>
        </w:rPr>
        <w:t>.</w:t>
      </w:r>
      <w:r w:rsidRPr="0006024E">
        <w:rPr>
          <w:rFonts w:ascii="Times New Roman" w:eastAsia="Georgia" w:hAnsi="Times New Roman" w:cs="Times New Roman"/>
          <w:sz w:val="24"/>
          <w:szCs w:val="24"/>
        </w:rPr>
        <w:t>”</w:t>
      </w:r>
    </w:p>
    <w:p w14:paraId="389CCE59" w14:textId="77777777" w:rsidR="00DD18FF" w:rsidRPr="00CF70E9" w:rsidRDefault="00DD18FF" w:rsidP="001F31CA">
      <w:pPr>
        <w:spacing w:after="0" w:line="240" w:lineRule="auto"/>
        <w:rPr>
          <w:rFonts w:ascii="Times New Roman" w:hAnsi="Times New Roman" w:cs="Times New Roman"/>
          <w:sz w:val="24"/>
          <w:szCs w:val="24"/>
        </w:rPr>
      </w:pPr>
    </w:p>
    <w:p w14:paraId="2F92CCA7" w14:textId="72A4F3F6" w:rsidR="00581399" w:rsidRDefault="00B56A2F" w:rsidP="001F31CA">
      <w:pPr>
        <w:spacing w:after="0" w:line="240" w:lineRule="auto"/>
        <w:rPr>
          <w:rFonts w:ascii="Times New Roman" w:hAnsi="Times New Roman" w:cs="Times New Roman"/>
          <w:b/>
          <w:sz w:val="24"/>
          <w:szCs w:val="24"/>
          <w:u w:val="single"/>
        </w:rPr>
      </w:pPr>
      <w:r w:rsidRPr="00CF70E9">
        <w:rPr>
          <w:rFonts w:ascii="Times New Roman" w:hAnsi="Times New Roman" w:cs="Times New Roman"/>
          <w:b/>
          <w:sz w:val="24"/>
          <w:szCs w:val="24"/>
          <w:u w:val="single"/>
        </w:rPr>
        <w:t>Overview of Final Rule</w:t>
      </w:r>
    </w:p>
    <w:p w14:paraId="6CBA1B43" w14:textId="77777777" w:rsidR="00C23C1E" w:rsidRPr="00CF70E9" w:rsidRDefault="00C23C1E" w:rsidP="001F31CA">
      <w:pPr>
        <w:spacing w:after="0" w:line="240" w:lineRule="auto"/>
        <w:rPr>
          <w:rFonts w:ascii="Times New Roman" w:hAnsi="Times New Roman" w:cs="Times New Roman"/>
          <w:b/>
          <w:sz w:val="24"/>
          <w:szCs w:val="24"/>
          <w:u w:val="single"/>
        </w:rPr>
      </w:pPr>
    </w:p>
    <w:p w14:paraId="040F8F47" w14:textId="6DB58037" w:rsidR="00581399" w:rsidRDefault="00581399" w:rsidP="001F31CA">
      <w:pPr>
        <w:spacing w:after="0" w:line="240" w:lineRule="auto"/>
        <w:rPr>
          <w:rFonts w:ascii="Times New Roman" w:eastAsia="Georgia" w:hAnsi="Times New Roman" w:cs="Times New Roman"/>
          <w:sz w:val="24"/>
          <w:szCs w:val="24"/>
        </w:rPr>
      </w:pPr>
      <w:r w:rsidRPr="00CF70E9">
        <w:rPr>
          <w:rFonts w:ascii="Times New Roman" w:eastAsia="Georgia" w:hAnsi="Times New Roman" w:cs="Times New Roman"/>
          <w:sz w:val="24"/>
          <w:szCs w:val="24"/>
        </w:rPr>
        <w:t>Building on the proposed rule, existing regulatory</w:t>
      </w:r>
      <w:r w:rsidR="00017B34">
        <w:rPr>
          <w:rFonts w:ascii="Times New Roman" w:eastAsia="Georgia" w:hAnsi="Times New Roman" w:cs="Times New Roman"/>
          <w:sz w:val="24"/>
          <w:szCs w:val="24"/>
        </w:rPr>
        <w:t xml:space="preserve"> and statutory</w:t>
      </w:r>
      <w:r w:rsidRPr="00CF70E9">
        <w:rPr>
          <w:rFonts w:ascii="Times New Roman" w:eastAsia="Georgia" w:hAnsi="Times New Roman" w:cs="Times New Roman"/>
          <w:sz w:val="24"/>
          <w:szCs w:val="24"/>
        </w:rPr>
        <w:t xml:space="preserve"> auth</w:t>
      </w:r>
      <w:r w:rsidR="00DD18FF">
        <w:rPr>
          <w:rFonts w:ascii="Times New Roman" w:eastAsia="Georgia" w:hAnsi="Times New Roman" w:cs="Times New Roman"/>
          <w:sz w:val="24"/>
          <w:szCs w:val="24"/>
        </w:rPr>
        <w:t>ority</w:t>
      </w:r>
      <w:r w:rsidR="00017B34">
        <w:rPr>
          <w:rFonts w:ascii="Times New Roman" w:eastAsia="Georgia" w:hAnsi="Times New Roman" w:cs="Times New Roman"/>
          <w:sz w:val="24"/>
          <w:szCs w:val="24"/>
        </w:rPr>
        <w:t>,</w:t>
      </w:r>
      <w:r w:rsidR="00DD18FF">
        <w:rPr>
          <w:rFonts w:ascii="Times New Roman" w:eastAsia="Georgia" w:hAnsi="Times New Roman" w:cs="Times New Roman"/>
          <w:sz w:val="24"/>
          <w:szCs w:val="24"/>
        </w:rPr>
        <w:t xml:space="preserve"> and the Western Solar Plan</w:t>
      </w:r>
      <w:r w:rsidRPr="00CF70E9">
        <w:rPr>
          <w:rFonts w:ascii="Times New Roman" w:eastAsia="Georgia" w:hAnsi="Times New Roman" w:cs="Times New Roman"/>
          <w:sz w:val="24"/>
          <w:szCs w:val="24"/>
        </w:rPr>
        <w:t>, the final rule:</w:t>
      </w:r>
    </w:p>
    <w:p w14:paraId="005F16D0" w14:textId="77777777" w:rsidR="00017B34" w:rsidRPr="00CF70E9" w:rsidRDefault="00017B34" w:rsidP="001F31CA">
      <w:pPr>
        <w:spacing w:after="0" w:line="240" w:lineRule="auto"/>
        <w:rPr>
          <w:rFonts w:ascii="Times New Roman" w:eastAsia="Georgia" w:hAnsi="Times New Roman" w:cs="Times New Roman"/>
          <w:sz w:val="24"/>
          <w:szCs w:val="24"/>
        </w:rPr>
      </w:pPr>
    </w:p>
    <w:p w14:paraId="0F97A391" w14:textId="13954144" w:rsidR="001F31CA" w:rsidRPr="00374C02" w:rsidRDefault="001F31CA" w:rsidP="004638BC">
      <w:pPr>
        <w:pStyle w:val="ListParagraph"/>
        <w:numPr>
          <w:ilvl w:val="0"/>
          <w:numId w:val="13"/>
        </w:numPr>
        <w:spacing w:after="120"/>
        <w:ind w:left="360"/>
        <w:contextualSpacing w:val="0"/>
        <w:rPr>
          <w:color w:val="000000" w:themeColor="text1"/>
          <w:shd w:val="clear" w:color="auto" w:fill="FFFFFF"/>
        </w:rPr>
      </w:pPr>
      <w:r w:rsidRPr="00374C02">
        <w:rPr>
          <w:color w:val="000000" w:themeColor="text1"/>
          <w:shd w:val="clear" w:color="auto" w:fill="FFFFFF"/>
        </w:rPr>
        <w:t>Incentivizes development in areas with the high</w:t>
      </w:r>
      <w:r>
        <w:rPr>
          <w:color w:val="000000" w:themeColor="text1"/>
          <w:shd w:val="clear" w:color="auto" w:fill="FFFFFF"/>
        </w:rPr>
        <w:t>est</w:t>
      </w:r>
      <w:r w:rsidRPr="00374C02">
        <w:rPr>
          <w:color w:val="000000" w:themeColor="text1"/>
          <w:shd w:val="clear" w:color="auto" w:fill="FFFFFF"/>
        </w:rPr>
        <w:t xml:space="preserve"> generation potential and fewe</w:t>
      </w:r>
      <w:r>
        <w:rPr>
          <w:color w:val="000000" w:themeColor="text1"/>
          <w:shd w:val="clear" w:color="auto" w:fill="FFFFFF"/>
        </w:rPr>
        <w:t>st</w:t>
      </w:r>
      <w:r w:rsidRPr="00374C02">
        <w:rPr>
          <w:color w:val="000000" w:themeColor="text1"/>
          <w:shd w:val="clear" w:color="auto" w:fill="FFFFFF"/>
        </w:rPr>
        <w:t xml:space="preserve"> </w:t>
      </w:r>
      <w:r>
        <w:rPr>
          <w:color w:val="000000" w:themeColor="text1"/>
          <w:shd w:val="clear" w:color="auto" w:fill="FFFFFF"/>
        </w:rPr>
        <w:t xml:space="preserve">resource </w:t>
      </w:r>
      <w:r w:rsidRPr="00374C02">
        <w:rPr>
          <w:color w:val="000000" w:themeColor="text1"/>
          <w:shd w:val="clear" w:color="auto" w:fill="FFFFFF"/>
        </w:rPr>
        <w:t>conflicts, called DLAs, by: (i) providing financial incentives</w:t>
      </w:r>
      <w:r w:rsidR="002E5A51">
        <w:rPr>
          <w:color w:val="000000" w:themeColor="text1"/>
          <w:shd w:val="clear" w:color="auto" w:fill="FFFFFF"/>
        </w:rPr>
        <w:t xml:space="preserve"> to developers</w:t>
      </w:r>
      <w:r w:rsidRPr="00374C02">
        <w:rPr>
          <w:color w:val="000000" w:themeColor="text1"/>
          <w:shd w:val="clear" w:color="auto" w:fill="FFFFFF"/>
        </w:rPr>
        <w:t xml:space="preserve">, including less frequent adjustments to rent and longer phase-ins for other fees; (ii) </w:t>
      </w:r>
      <w:r w:rsidR="00C7008F" w:rsidRPr="00C7008F">
        <w:rPr>
          <w:color w:val="000000" w:themeColor="text1"/>
          <w:shd w:val="clear" w:color="auto" w:fill="FFFFFF"/>
        </w:rPr>
        <w:t>allowing standard bonds as opposed to bonds based on full reclamation costs</w:t>
      </w:r>
      <w:r w:rsidR="00513C95">
        <w:rPr>
          <w:color w:val="000000" w:themeColor="text1"/>
          <w:shd w:val="clear" w:color="auto" w:fill="FFFFFF"/>
        </w:rPr>
        <w:t xml:space="preserve">; (iii) </w:t>
      </w:r>
      <w:r w:rsidRPr="00374C02">
        <w:rPr>
          <w:color w:val="000000" w:themeColor="text1"/>
          <w:shd w:val="clear" w:color="auto" w:fill="FFFFFF"/>
        </w:rPr>
        <w:t xml:space="preserve">awarding leases in </w:t>
      </w:r>
      <w:r>
        <w:rPr>
          <w:color w:val="000000" w:themeColor="text1"/>
          <w:shd w:val="clear" w:color="auto" w:fill="FFFFFF"/>
        </w:rPr>
        <w:t>these areas</w:t>
      </w:r>
      <w:r w:rsidRPr="00374C02">
        <w:rPr>
          <w:color w:val="000000" w:themeColor="text1"/>
          <w:shd w:val="clear" w:color="auto" w:fill="FFFFFF"/>
        </w:rPr>
        <w:t xml:space="preserve"> through competitive processes; and (</w:t>
      </w:r>
      <w:r w:rsidR="00513C95" w:rsidRPr="00374C02">
        <w:rPr>
          <w:color w:val="000000" w:themeColor="text1"/>
          <w:shd w:val="clear" w:color="auto" w:fill="FFFFFF"/>
        </w:rPr>
        <w:t>i</w:t>
      </w:r>
      <w:r w:rsidR="00513C95">
        <w:rPr>
          <w:color w:val="000000" w:themeColor="text1"/>
          <w:shd w:val="clear" w:color="auto" w:fill="FFFFFF"/>
        </w:rPr>
        <w:t>v</w:t>
      </w:r>
      <w:r w:rsidRPr="00374C02">
        <w:rPr>
          <w:color w:val="000000" w:themeColor="text1"/>
          <w:shd w:val="clear" w:color="auto" w:fill="FFFFFF"/>
        </w:rPr>
        <w:t>) streamlining the leasing process by, for example, granting applicants site control</w:t>
      </w:r>
      <w:r>
        <w:rPr>
          <w:color w:val="000000" w:themeColor="text1"/>
          <w:shd w:val="clear" w:color="auto" w:fill="FFFFFF"/>
        </w:rPr>
        <w:t xml:space="preserve"> earlier</w:t>
      </w:r>
      <w:r w:rsidRPr="00374C02">
        <w:rPr>
          <w:color w:val="000000" w:themeColor="text1"/>
          <w:shd w:val="clear" w:color="auto" w:fill="FFFFFF"/>
        </w:rPr>
        <w:t xml:space="preserve">;  </w:t>
      </w:r>
    </w:p>
    <w:p w14:paraId="476AA9CC" w14:textId="1AF1F08A" w:rsidR="001F31CA" w:rsidRPr="00374C02" w:rsidRDefault="001F31CA" w:rsidP="004638BC">
      <w:pPr>
        <w:pStyle w:val="ListParagraph"/>
        <w:numPr>
          <w:ilvl w:val="0"/>
          <w:numId w:val="13"/>
        </w:numPr>
        <w:spacing w:after="120"/>
        <w:ind w:left="360"/>
        <w:contextualSpacing w:val="0"/>
        <w:rPr>
          <w:color w:val="000000" w:themeColor="text1"/>
          <w:shd w:val="clear" w:color="auto" w:fill="FFFFFF"/>
        </w:rPr>
      </w:pPr>
      <w:r w:rsidRPr="00374C02">
        <w:rPr>
          <w:color w:val="000000" w:themeColor="text1"/>
          <w:shd w:val="clear" w:color="auto" w:fill="FFFFFF"/>
        </w:rPr>
        <w:t xml:space="preserve">Ensures transparency and predictability in rents and fees – </w:t>
      </w:r>
      <w:r>
        <w:rPr>
          <w:color w:val="000000" w:themeColor="text1"/>
          <w:shd w:val="clear" w:color="auto" w:fill="FFFFFF"/>
        </w:rPr>
        <w:t>for example</w:t>
      </w:r>
      <w:r w:rsidRPr="00374C02">
        <w:rPr>
          <w:color w:val="000000" w:themeColor="text1"/>
          <w:shd w:val="clear" w:color="auto" w:fill="FFFFFF"/>
        </w:rPr>
        <w:t xml:space="preserve">, </w:t>
      </w:r>
      <w:r>
        <w:rPr>
          <w:color w:val="000000" w:themeColor="text1"/>
          <w:shd w:val="clear" w:color="auto" w:fill="FFFFFF"/>
        </w:rPr>
        <w:t>g</w:t>
      </w:r>
      <w:r w:rsidRPr="00374C02">
        <w:rPr>
          <w:color w:val="000000" w:themeColor="text1"/>
          <w:shd w:val="clear" w:color="auto" w:fill="FFFFFF"/>
        </w:rPr>
        <w:t xml:space="preserve">ives developers the option of selecting fixed rate adjustments instead of market-based adjustments; </w:t>
      </w:r>
    </w:p>
    <w:p w14:paraId="7EB96D47" w14:textId="3AEF364C" w:rsidR="001F31CA" w:rsidRDefault="001F31CA" w:rsidP="00C22F57">
      <w:pPr>
        <w:pStyle w:val="ListParagraph"/>
        <w:numPr>
          <w:ilvl w:val="0"/>
          <w:numId w:val="13"/>
        </w:numPr>
        <w:spacing w:after="120"/>
        <w:ind w:left="360"/>
        <w:contextualSpacing w:val="0"/>
        <w:rPr>
          <w:color w:val="000000" w:themeColor="text1"/>
          <w:shd w:val="clear" w:color="auto" w:fill="FFFFFF"/>
        </w:rPr>
      </w:pPr>
      <w:r w:rsidRPr="00E17C63">
        <w:rPr>
          <w:color w:val="000000" w:themeColor="text1"/>
          <w:shd w:val="clear" w:color="auto" w:fill="FFFFFF"/>
        </w:rPr>
        <w:t xml:space="preserve">Updates the BLM’s current fee structure in response to market conditions, which will bring </w:t>
      </w:r>
      <w:r>
        <w:rPr>
          <w:color w:val="000000" w:themeColor="text1"/>
          <w:shd w:val="clear" w:color="auto" w:fill="FFFFFF"/>
        </w:rPr>
        <w:t xml:space="preserve">down near-term </w:t>
      </w:r>
      <w:r w:rsidRPr="00E17C63">
        <w:rPr>
          <w:color w:val="000000" w:themeColor="text1"/>
          <w:shd w:val="clear" w:color="auto" w:fill="FFFFFF"/>
        </w:rPr>
        <w:t>costs for solar projects</w:t>
      </w:r>
      <w:r>
        <w:rPr>
          <w:color w:val="000000" w:themeColor="text1"/>
          <w:shd w:val="clear" w:color="auto" w:fill="FFFFFF"/>
        </w:rPr>
        <w:t>; and</w:t>
      </w:r>
    </w:p>
    <w:p w14:paraId="35B4AD5B" w14:textId="0602DED3" w:rsidR="00017B34" w:rsidRDefault="001F31CA" w:rsidP="00C22F57">
      <w:pPr>
        <w:pStyle w:val="ListParagraph"/>
        <w:numPr>
          <w:ilvl w:val="0"/>
          <w:numId w:val="13"/>
        </w:numPr>
        <w:spacing w:after="0"/>
        <w:ind w:left="360"/>
        <w:contextualSpacing w:val="0"/>
        <w:rPr>
          <w:color w:val="000000" w:themeColor="text1"/>
          <w:shd w:val="clear" w:color="auto" w:fill="FFFFFF"/>
        </w:rPr>
      </w:pPr>
      <w:r w:rsidRPr="00C22F57">
        <w:rPr>
          <w:color w:val="000000" w:themeColor="text1"/>
          <w:shd w:val="clear" w:color="auto" w:fill="FFFFFF"/>
        </w:rPr>
        <w:t>Broadens the BLM’s authority to utilize competitive processes outside of designated leasing areas.</w:t>
      </w:r>
    </w:p>
    <w:p w14:paraId="1127C60A" w14:textId="77777777" w:rsidR="00C22F57" w:rsidRPr="00C22F57" w:rsidRDefault="00C22F57" w:rsidP="00C22F57">
      <w:pPr>
        <w:pStyle w:val="ListParagraph"/>
        <w:spacing w:after="0"/>
        <w:ind w:left="360"/>
        <w:contextualSpacing w:val="0"/>
        <w:rPr>
          <w:color w:val="000000" w:themeColor="text1"/>
          <w:shd w:val="clear" w:color="auto" w:fill="FFFFFF"/>
        </w:rPr>
      </w:pPr>
    </w:p>
    <w:p w14:paraId="6838253E" w14:textId="5FF57B7C" w:rsidR="001A5401" w:rsidRDefault="000B5F61" w:rsidP="001F31CA">
      <w:pPr>
        <w:spacing w:after="0" w:line="240" w:lineRule="auto"/>
        <w:rPr>
          <w:rFonts w:ascii="Times New Roman" w:eastAsia="Georgia" w:hAnsi="Times New Roman" w:cs="Times New Roman"/>
          <w:sz w:val="24"/>
          <w:szCs w:val="24"/>
        </w:rPr>
      </w:pPr>
      <w:r w:rsidRPr="000B5F61">
        <w:rPr>
          <w:rFonts w:ascii="Times New Roman" w:eastAsia="Georgia" w:hAnsi="Times New Roman" w:cs="Times New Roman"/>
          <w:sz w:val="24"/>
          <w:szCs w:val="24"/>
        </w:rPr>
        <w:t xml:space="preserve">The rule </w:t>
      </w:r>
      <w:r w:rsidR="00017B34">
        <w:rPr>
          <w:rFonts w:ascii="Times New Roman" w:eastAsia="Georgia" w:hAnsi="Times New Roman" w:cs="Times New Roman"/>
          <w:sz w:val="24"/>
          <w:szCs w:val="24"/>
        </w:rPr>
        <w:t xml:space="preserve">also </w:t>
      </w:r>
      <w:r w:rsidR="005E4176">
        <w:rPr>
          <w:rFonts w:ascii="Times New Roman" w:eastAsia="Georgia" w:hAnsi="Times New Roman" w:cs="Times New Roman"/>
          <w:sz w:val="24"/>
          <w:szCs w:val="24"/>
        </w:rPr>
        <w:t xml:space="preserve">complements </w:t>
      </w:r>
      <w:r w:rsidR="00017B34">
        <w:rPr>
          <w:rFonts w:ascii="Times New Roman" w:eastAsia="Georgia" w:hAnsi="Times New Roman" w:cs="Times New Roman"/>
          <w:sz w:val="24"/>
          <w:szCs w:val="24"/>
        </w:rPr>
        <w:t xml:space="preserve">BLM’s landscape-scale planning efforts, </w:t>
      </w:r>
      <w:r w:rsidR="00BA5239">
        <w:rPr>
          <w:rFonts w:ascii="Times New Roman" w:eastAsia="Georgia" w:hAnsi="Times New Roman" w:cs="Times New Roman"/>
          <w:sz w:val="24"/>
          <w:szCs w:val="24"/>
        </w:rPr>
        <w:t>including</w:t>
      </w:r>
      <w:r w:rsidRPr="000B5F61">
        <w:rPr>
          <w:rFonts w:ascii="Times New Roman" w:eastAsia="Georgia" w:hAnsi="Times New Roman" w:cs="Times New Roman"/>
          <w:sz w:val="24"/>
          <w:szCs w:val="24"/>
        </w:rPr>
        <w:t xml:space="preserve"> the</w:t>
      </w:r>
      <w:r w:rsidR="00017B34">
        <w:rPr>
          <w:rFonts w:ascii="Times New Roman" w:eastAsia="Georgia" w:hAnsi="Times New Roman" w:cs="Times New Roman"/>
          <w:sz w:val="24"/>
          <w:szCs w:val="24"/>
        </w:rPr>
        <w:t xml:space="preserve"> </w:t>
      </w:r>
      <w:r w:rsidRPr="000B5F61">
        <w:rPr>
          <w:rFonts w:ascii="Times New Roman" w:eastAsia="Georgia" w:hAnsi="Times New Roman" w:cs="Times New Roman"/>
          <w:sz w:val="24"/>
          <w:szCs w:val="24"/>
        </w:rPr>
        <w:t xml:space="preserve">Western </w:t>
      </w:r>
      <w:r w:rsidR="00C7008F">
        <w:rPr>
          <w:rFonts w:ascii="Times New Roman" w:eastAsia="Georgia" w:hAnsi="Times New Roman" w:cs="Times New Roman"/>
          <w:sz w:val="24"/>
          <w:szCs w:val="24"/>
        </w:rPr>
        <w:t>Solar</w:t>
      </w:r>
      <w:r w:rsidRPr="000B5F61">
        <w:rPr>
          <w:rFonts w:ascii="Times New Roman" w:eastAsia="Georgia" w:hAnsi="Times New Roman" w:cs="Times New Roman"/>
          <w:sz w:val="24"/>
          <w:szCs w:val="24"/>
        </w:rPr>
        <w:t xml:space="preserve"> Plan, California</w:t>
      </w:r>
      <w:r w:rsidR="00AE4CE0">
        <w:rPr>
          <w:rFonts w:ascii="Times New Roman" w:eastAsia="Georgia" w:hAnsi="Times New Roman" w:cs="Times New Roman"/>
          <w:sz w:val="24"/>
          <w:szCs w:val="24"/>
        </w:rPr>
        <w:t>’s</w:t>
      </w:r>
      <w:r w:rsidRPr="000B5F61">
        <w:rPr>
          <w:rFonts w:ascii="Times New Roman" w:eastAsia="Georgia" w:hAnsi="Times New Roman" w:cs="Times New Roman"/>
          <w:sz w:val="24"/>
          <w:szCs w:val="24"/>
        </w:rPr>
        <w:t xml:space="preserve"> Desert Renewable Energy Conservation Plan</w:t>
      </w:r>
      <w:r w:rsidR="005E4176">
        <w:rPr>
          <w:rFonts w:ascii="Times New Roman" w:eastAsia="Georgia" w:hAnsi="Times New Roman" w:cs="Times New Roman"/>
          <w:sz w:val="24"/>
          <w:szCs w:val="24"/>
        </w:rPr>
        <w:t>,</w:t>
      </w:r>
      <w:r w:rsidRPr="000B5F61">
        <w:rPr>
          <w:rFonts w:ascii="Times New Roman" w:eastAsia="Georgia" w:hAnsi="Times New Roman" w:cs="Times New Roman"/>
          <w:sz w:val="24"/>
          <w:szCs w:val="24"/>
        </w:rPr>
        <w:t xml:space="preserve"> and Arizona’s Restoration</w:t>
      </w:r>
      <w:r w:rsidR="00BC6A69">
        <w:rPr>
          <w:rFonts w:ascii="Times New Roman" w:eastAsia="Georgia" w:hAnsi="Times New Roman" w:cs="Times New Roman"/>
          <w:sz w:val="24"/>
          <w:szCs w:val="24"/>
        </w:rPr>
        <w:t xml:space="preserve"> Design</w:t>
      </w:r>
      <w:r w:rsidRPr="000B5F61">
        <w:rPr>
          <w:rFonts w:ascii="Times New Roman" w:eastAsia="Georgia" w:hAnsi="Times New Roman" w:cs="Times New Roman"/>
          <w:sz w:val="24"/>
          <w:szCs w:val="24"/>
        </w:rPr>
        <w:t xml:space="preserve"> Energy </w:t>
      </w:r>
      <w:r w:rsidR="00BC6A69">
        <w:rPr>
          <w:rFonts w:ascii="Times New Roman" w:eastAsia="Georgia" w:hAnsi="Times New Roman" w:cs="Times New Roman"/>
          <w:sz w:val="24"/>
          <w:szCs w:val="24"/>
        </w:rPr>
        <w:t>Project</w:t>
      </w:r>
      <w:r w:rsidRPr="000B5F61">
        <w:rPr>
          <w:rFonts w:ascii="Times New Roman" w:eastAsia="Georgia" w:hAnsi="Times New Roman" w:cs="Times New Roman"/>
          <w:sz w:val="24"/>
          <w:szCs w:val="24"/>
        </w:rPr>
        <w:t xml:space="preserve">.  </w:t>
      </w:r>
    </w:p>
    <w:p w14:paraId="68939EA4" w14:textId="77777777" w:rsidR="00017B34" w:rsidRDefault="00017B34" w:rsidP="00C93586">
      <w:pPr>
        <w:spacing w:after="0" w:line="240" w:lineRule="auto"/>
        <w:rPr>
          <w:rFonts w:ascii="Times New Roman" w:eastAsia="Georgia" w:hAnsi="Times New Roman" w:cs="Times New Roman"/>
          <w:sz w:val="24"/>
          <w:szCs w:val="24"/>
        </w:rPr>
      </w:pPr>
    </w:p>
    <w:p w14:paraId="0CCA7714" w14:textId="77777777" w:rsidR="00C22F57" w:rsidRDefault="00C22F57" w:rsidP="00C93586">
      <w:pPr>
        <w:spacing w:after="0" w:line="240" w:lineRule="auto"/>
        <w:rPr>
          <w:rFonts w:ascii="Times New Roman" w:eastAsia="Georgia" w:hAnsi="Times New Roman" w:cs="Times New Roman"/>
          <w:sz w:val="24"/>
          <w:szCs w:val="24"/>
        </w:rPr>
      </w:pPr>
    </w:p>
    <w:p w14:paraId="4E46FB14" w14:textId="77777777" w:rsidR="00C22F57" w:rsidRDefault="00C22F57" w:rsidP="00C93586">
      <w:pPr>
        <w:spacing w:after="0" w:line="240" w:lineRule="auto"/>
        <w:rPr>
          <w:rFonts w:ascii="Times New Roman" w:eastAsia="Georgia" w:hAnsi="Times New Roman" w:cs="Times New Roman"/>
          <w:sz w:val="24"/>
          <w:szCs w:val="24"/>
        </w:rPr>
      </w:pPr>
    </w:p>
    <w:p w14:paraId="143054D7" w14:textId="6F046B1E" w:rsidR="005E4176" w:rsidRDefault="00C22F57" w:rsidP="0006024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w:t>
      </w:r>
      <w:r w:rsidR="000C26D4">
        <w:rPr>
          <w:rFonts w:ascii="Times New Roman" w:hAnsi="Times New Roman" w:cs="Times New Roman"/>
          <w:b/>
          <w:sz w:val="24"/>
          <w:szCs w:val="24"/>
          <w:u w:val="single"/>
        </w:rPr>
        <w:t xml:space="preserve">ummary of </w:t>
      </w:r>
      <w:r w:rsidR="0049439A" w:rsidRPr="00CF70E9">
        <w:rPr>
          <w:rFonts w:ascii="Times New Roman" w:hAnsi="Times New Roman" w:cs="Times New Roman"/>
          <w:b/>
          <w:sz w:val="24"/>
          <w:szCs w:val="24"/>
          <w:u w:val="single"/>
        </w:rPr>
        <w:t xml:space="preserve">Principal </w:t>
      </w:r>
      <w:r w:rsidR="00EE462E" w:rsidRPr="00CF70E9">
        <w:rPr>
          <w:rFonts w:ascii="Times New Roman" w:hAnsi="Times New Roman" w:cs="Times New Roman"/>
          <w:b/>
          <w:sz w:val="24"/>
          <w:szCs w:val="24"/>
          <w:u w:val="single"/>
        </w:rPr>
        <w:t xml:space="preserve">Changes </w:t>
      </w:r>
      <w:r w:rsidR="0049439A" w:rsidRPr="00CF70E9">
        <w:rPr>
          <w:rFonts w:ascii="Times New Roman" w:hAnsi="Times New Roman" w:cs="Times New Roman"/>
          <w:b/>
          <w:sz w:val="24"/>
          <w:szCs w:val="24"/>
          <w:u w:val="single"/>
        </w:rPr>
        <w:t xml:space="preserve">Between the </w:t>
      </w:r>
      <w:r w:rsidR="00B3296A">
        <w:rPr>
          <w:rFonts w:ascii="Times New Roman" w:hAnsi="Times New Roman" w:cs="Times New Roman"/>
          <w:b/>
          <w:sz w:val="24"/>
          <w:szCs w:val="24"/>
          <w:u w:val="single"/>
        </w:rPr>
        <w:t xml:space="preserve">Current Policy </w:t>
      </w:r>
      <w:r w:rsidR="0049439A" w:rsidRPr="00CF70E9">
        <w:rPr>
          <w:rFonts w:ascii="Times New Roman" w:hAnsi="Times New Roman" w:cs="Times New Roman"/>
          <w:b/>
          <w:sz w:val="24"/>
          <w:szCs w:val="24"/>
          <w:u w:val="single"/>
        </w:rPr>
        <w:t xml:space="preserve">and </w:t>
      </w:r>
      <w:r w:rsidR="00B3296A">
        <w:rPr>
          <w:rFonts w:ascii="Times New Roman" w:hAnsi="Times New Roman" w:cs="Times New Roman"/>
          <w:b/>
          <w:sz w:val="24"/>
          <w:szCs w:val="24"/>
          <w:u w:val="single"/>
        </w:rPr>
        <w:t xml:space="preserve">the </w:t>
      </w:r>
      <w:r w:rsidR="0049439A" w:rsidRPr="00CF70E9">
        <w:rPr>
          <w:rFonts w:ascii="Times New Roman" w:hAnsi="Times New Roman" w:cs="Times New Roman"/>
          <w:b/>
          <w:sz w:val="24"/>
          <w:szCs w:val="24"/>
          <w:u w:val="single"/>
        </w:rPr>
        <w:t>Final R</w:t>
      </w:r>
      <w:r w:rsidR="00EE462E" w:rsidRPr="00CF70E9">
        <w:rPr>
          <w:rFonts w:ascii="Times New Roman" w:hAnsi="Times New Roman" w:cs="Times New Roman"/>
          <w:b/>
          <w:sz w:val="24"/>
          <w:szCs w:val="24"/>
          <w:u w:val="single"/>
        </w:rPr>
        <w:t>ule</w:t>
      </w:r>
    </w:p>
    <w:p w14:paraId="115FA618" w14:textId="77777777" w:rsidR="008C1AE1" w:rsidRPr="00017B34" w:rsidRDefault="008C1AE1" w:rsidP="0006024E">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50"/>
        <w:gridCol w:w="3778"/>
        <w:gridCol w:w="4140"/>
      </w:tblGrid>
      <w:tr w:rsidR="00AE4CE0" w14:paraId="7939E992" w14:textId="77777777" w:rsidTr="00BC6A69">
        <w:trPr>
          <w:tblHeader/>
        </w:trPr>
        <w:tc>
          <w:tcPr>
            <w:tcW w:w="1550" w:type="dxa"/>
            <w:shd w:val="clear" w:color="auto" w:fill="D9D9D9" w:themeFill="background1" w:themeFillShade="D9"/>
          </w:tcPr>
          <w:p w14:paraId="4F5CF55E" w14:textId="649DFAAC" w:rsidR="00B3296A" w:rsidRPr="00017B34" w:rsidRDefault="00B3296A" w:rsidP="00017B34">
            <w:pPr>
              <w:jc w:val="center"/>
              <w:rPr>
                <w:rFonts w:ascii="Times New Roman" w:hAnsi="Times New Roman" w:cs="Times New Roman"/>
                <w:b/>
                <w:sz w:val="24"/>
                <w:szCs w:val="24"/>
              </w:rPr>
            </w:pPr>
            <w:r w:rsidRPr="00017B34">
              <w:rPr>
                <w:rFonts w:ascii="Times New Roman" w:hAnsi="Times New Roman" w:cs="Times New Roman"/>
                <w:b/>
                <w:sz w:val="24"/>
                <w:szCs w:val="24"/>
              </w:rPr>
              <w:t>Issue</w:t>
            </w:r>
          </w:p>
        </w:tc>
        <w:tc>
          <w:tcPr>
            <w:tcW w:w="3778" w:type="dxa"/>
            <w:shd w:val="clear" w:color="auto" w:fill="D9D9D9" w:themeFill="background1" w:themeFillShade="D9"/>
          </w:tcPr>
          <w:p w14:paraId="3C3DF748" w14:textId="1BA693AB" w:rsidR="00B3296A" w:rsidRPr="00017B34" w:rsidRDefault="00B3296A" w:rsidP="00017B34">
            <w:pPr>
              <w:jc w:val="center"/>
              <w:rPr>
                <w:rFonts w:ascii="Times New Roman" w:hAnsi="Times New Roman" w:cs="Times New Roman"/>
                <w:b/>
                <w:sz w:val="24"/>
                <w:szCs w:val="24"/>
              </w:rPr>
            </w:pPr>
            <w:r w:rsidRPr="00017B34">
              <w:rPr>
                <w:rFonts w:ascii="Times New Roman" w:hAnsi="Times New Roman" w:cs="Times New Roman"/>
                <w:b/>
                <w:sz w:val="24"/>
                <w:szCs w:val="24"/>
              </w:rPr>
              <w:t>Current Policy</w:t>
            </w:r>
          </w:p>
        </w:tc>
        <w:tc>
          <w:tcPr>
            <w:tcW w:w="4140" w:type="dxa"/>
            <w:shd w:val="clear" w:color="auto" w:fill="D9D9D9" w:themeFill="background1" w:themeFillShade="D9"/>
          </w:tcPr>
          <w:p w14:paraId="304460B8" w14:textId="607BD246" w:rsidR="00B3296A" w:rsidRPr="00017B34" w:rsidRDefault="00B3296A" w:rsidP="00017B34">
            <w:pPr>
              <w:jc w:val="center"/>
              <w:rPr>
                <w:rFonts w:ascii="Times New Roman" w:hAnsi="Times New Roman" w:cs="Times New Roman"/>
                <w:b/>
                <w:sz w:val="24"/>
                <w:szCs w:val="24"/>
              </w:rPr>
            </w:pPr>
            <w:r w:rsidRPr="00017B34">
              <w:rPr>
                <w:rFonts w:ascii="Times New Roman" w:hAnsi="Times New Roman" w:cs="Times New Roman"/>
                <w:b/>
                <w:sz w:val="24"/>
                <w:szCs w:val="24"/>
              </w:rPr>
              <w:t>Final Rule</w:t>
            </w:r>
          </w:p>
        </w:tc>
      </w:tr>
      <w:tr w:rsidR="00000C45" w14:paraId="011182C3" w14:textId="77777777" w:rsidTr="00BC6A69">
        <w:tc>
          <w:tcPr>
            <w:tcW w:w="1550" w:type="dxa"/>
          </w:tcPr>
          <w:p w14:paraId="3DC2833F" w14:textId="6AA1A1DD" w:rsidR="00000C45" w:rsidRDefault="00000C45" w:rsidP="00000C45">
            <w:pPr>
              <w:rPr>
                <w:rFonts w:ascii="Times New Roman" w:hAnsi="Times New Roman" w:cs="Times New Roman"/>
                <w:sz w:val="24"/>
                <w:szCs w:val="24"/>
              </w:rPr>
            </w:pPr>
            <w:r>
              <w:rPr>
                <w:rFonts w:ascii="Times New Roman" w:hAnsi="Times New Roman" w:cs="Times New Roman"/>
                <w:sz w:val="24"/>
                <w:szCs w:val="24"/>
              </w:rPr>
              <w:t>Approach to Obtaining Fair Market Value for Solar Energy</w:t>
            </w:r>
          </w:p>
        </w:tc>
        <w:tc>
          <w:tcPr>
            <w:tcW w:w="3778" w:type="dxa"/>
          </w:tcPr>
          <w:p w14:paraId="6A31CF71" w14:textId="7587A3C8" w:rsidR="00000C45" w:rsidRDefault="005E4176" w:rsidP="00AE4CE0">
            <w:pPr>
              <w:rPr>
                <w:rFonts w:ascii="Times New Roman" w:hAnsi="Times New Roman" w:cs="Times New Roman"/>
                <w:sz w:val="24"/>
                <w:szCs w:val="24"/>
              </w:rPr>
            </w:pPr>
            <w:r>
              <w:rPr>
                <w:rFonts w:ascii="Times New Roman" w:hAnsi="Times New Roman" w:cs="Times New Roman"/>
                <w:sz w:val="24"/>
                <w:szCs w:val="24"/>
              </w:rPr>
              <w:t xml:space="preserve">Policy </w:t>
            </w:r>
            <w:r w:rsidR="0078238F">
              <w:rPr>
                <w:rFonts w:ascii="Times New Roman" w:hAnsi="Times New Roman" w:cs="Times New Roman"/>
                <w:sz w:val="24"/>
                <w:szCs w:val="24"/>
              </w:rPr>
              <w:t>includes acreage and MW rates</w:t>
            </w:r>
            <w:r>
              <w:rPr>
                <w:rFonts w:ascii="Times New Roman" w:hAnsi="Times New Roman" w:cs="Times New Roman"/>
                <w:sz w:val="24"/>
                <w:szCs w:val="24"/>
              </w:rPr>
              <w:t>. Rates are b</w:t>
            </w:r>
            <w:r w:rsidR="00000C45">
              <w:rPr>
                <w:rFonts w:ascii="Times New Roman" w:hAnsi="Times New Roman" w:cs="Times New Roman"/>
                <w:sz w:val="24"/>
                <w:szCs w:val="24"/>
              </w:rPr>
              <w:t xml:space="preserve">ased on </w:t>
            </w:r>
            <w:r w:rsidRPr="005E4176">
              <w:rPr>
                <w:rFonts w:ascii="Times New Roman" w:hAnsi="Times New Roman" w:cs="Times New Roman"/>
                <w:sz w:val="24"/>
                <w:szCs w:val="24"/>
              </w:rPr>
              <w:t xml:space="preserve">National Agricultural Statistics Service </w:t>
            </w:r>
            <w:r>
              <w:rPr>
                <w:rFonts w:ascii="Times New Roman" w:hAnsi="Times New Roman" w:cs="Times New Roman"/>
                <w:sz w:val="24"/>
                <w:szCs w:val="24"/>
              </w:rPr>
              <w:t>(NASS)</w:t>
            </w:r>
            <w:r w:rsidRPr="005E4176">
              <w:rPr>
                <w:rFonts w:ascii="Times New Roman" w:hAnsi="Times New Roman" w:cs="Times New Roman"/>
                <w:sz w:val="24"/>
                <w:szCs w:val="24"/>
              </w:rPr>
              <w:t xml:space="preserve"> </w:t>
            </w:r>
            <w:r w:rsidR="00017B34">
              <w:rPr>
                <w:rFonts w:ascii="Times New Roman" w:hAnsi="Times New Roman" w:cs="Times New Roman"/>
                <w:sz w:val="24"/>
                <w:szCs w:val="24"/>
              </w:rPr>
              <w:t>land survey data and p</w:t>
            </w:r>
            <w:r w:rsidR="00000C45">
              <w:rPr>
                <w:rFonts w:ascii="Times New Roman" w:hAnsi="Times New Roman" w:cs="Times New Roman"/>
                <w:sz w:val="24"/>
                <w:szCs w:val="24"/>
              </w:rPr>
              <w:t xml:space="preserve">ower </w:t>
            </w:r>
            <w:r w:rsidR="00017B34">
              <w:rPr>
                <w:rFonts w:ascii="Times New Roman" w:hAnsi="Times New Roman" w:cs="Times New Roman"/>
                <w:sz w:val="24"/>
                <w:szCs w:val="24"/>
              </w:rPr>
              <w:t>market conditions from</w:t>
            </w:r>
            <w:r w:rsidR="00000C45">
              <w:rPr>
                <w:rFonts w:ascii="Times New Roman" w:hAnsi="Times New Roman" w:cs="Times New Roman"/>
                <w:sz w:val="24"/>
                <w:szCs w:val="24"/>
              </w:rPr>
              <w:t xml:space="preserve"> 2010.  </w:t>
            </w:r>
            <w:r w:rsidR="00C22F57">
              <w:rPr>
                <w:rFonts w:ascii="Times New Roman" w:hAnsi="Times New Roman" w:cs="Times New Roman"/>
                <w:sz w:val="24"/>
                <w:szCs w:val="24"/>
              </w:rPr>
              <w:t xml:space="preserve">Does not </w:t>
            </w:r>
            <w:r w:rsidR="00AE4CE0">
              <w:rPr>
                <w:rFonts w:ascii="Times New Roman" w:hAnsi="Times New Roman" w:cs="Times New Roman"/>
                <w:sz w:val="24"/>
                <w:szCs w:val="24"/>
              </w:rPr>
              <w:t>allow</w:t>
            </w:r>
            <w:r w:rsidR="00C22F57">
              <w:rPr>
                <w:rFonts w:ascii="Times New Roman" w:hAnsi="Times New Roman" w:cs="Times New Roman"/>
                <w:sz w:val="24"/>
                <w:szCs w:val="24"/>
              </w:rPr>
              <w:t xml:space="preserve"> phase-in of MW rates</w:t>
            </w:r>
            <w:r w:rsidR="00000C45">
              <w:rPr>
                <w:rFonts w:ascii="Times New Roman" w:hAnsi="Times New Roman" w:cs="Times New Roman"/>
                <w:sz w:val="24"/>
                <w:szCs w:val="24"/>
              </w:rPr>
              <w:t>.</w:t>
            </w:r>
          </w:p>
        </w:tc>
        <w:tc>
          <w:tcPr>
            <w:tcW w:w="4140" w:type="dxa"/>
          </w:tcPr>
          <w:p w14:paraId="13F00DCD" w14:textId="6C4BE51B" w:rsidR="00000C45" w:rsidRDefault="00C22F57" w:rsidP="00AE4CE0">
            <w:pPr>
              <w:rPr>
                <w:rFonts w:ascii="Times New Roman" w:hAnsi="Times New Roman" w:cs="Times New Roman"/>
                <w:sz w:val="24"/>
                <w:szCs w:val="24"/>
              </w:rPr>
            </w:pPr>
            <w:r>
              <w:rPr>
                <w:rFonts w:ascii="Times New Roman" w:hAnsi="Times New Roman" w:cs="Times New Roman"/>
                <w:sz w:val="24"/>
                <w:szCs w:val="24"/>
              </w:rPr>
              <w:t>Final rule</w:t>
            </w:r>
            <w:r w:rsidR="005E4176">
              <w:rPr>
                <w:rFonts w:ascii="Times New Roman" w:hAnsi="Times New Roman" w:cs="Times New Roman"/>
                <w:sz w:val="24"/>
                <w:szCs w:val="24"/>
              </w:rPr>
              <w:t xml:space="preserve"> includes acreage and MW rates</w:t>
            </w:r>
            <w:r w:rsidR="0078238F">
              <w:rPr>
                <w:rFonts w:ascii="Times New Roman" w:hAnsi="Times New Roman" w:cs="Times New Roman"/>
                <w:sz w:val="24"/>
                <w:szCs w:val="24"/>
              </w:rPr>
              <w:t>.</w:t>
            </w:r>
            <w:r w:rsidR="005E4176">
              <w:rPr>
                <w:rFonts w:ascii="Times New Roman" w:hAnsi="Times New Roman" w:cs="Times New Roman"/>
                <w:sz w:val="24"/>
                <w:szCs w:val="24"/>
              </w:rPr>
              <w:t xml:space="preserve"> </w:t>
            </w:r>
            <w:r w:rsidR="0078238F">
              <w:rPr>
                <w:rFonts w:ascii="Times New Roman" w:hAnsi="Times New Roman" w:cs="Times New Roman"/>
                <w:sz w:val="24"/>
                <w:szCs w:val="24"/>
              </w:rPr>
              <w:t xml:space="preserve">Initial rates are based </w:t>
            </w:r>
            <w:r w:rsidR="00000C45">
              <w:rPr>
                <w:rFonts w:ascii="Times New Roman" w:hAnsi="Times New Roman" w:cs="Times New Roman"/>
                <w:sz w:val="24"/>
                <w:szCs w:val="24"/>
              </w:rPr>
              <w:t xml:space="preserve">on </w:t>
            </w:r>
            <w:r w:rsidR="0078238F">
              <w:rPr>
                <w:rFonts w:ascii="Times New Roman" w:hAnsi="Times New Roman" w:cs="Times New Roman"/>
                <w:sz w:val="24"/>
                <w:szCs w:val="24"/>
              </w:rPr>
              <w:t xml:space="preserve">NASS land data and </w:t>
            </w:r>
            <w:r w:rsidR="00000C45">
              <w:rPr>
                <w:rFonts w:ascii="Times New Roman" w:hAnsi="Times New Roman" w:cs="Times New Roman"/>
                <w:sz w:val="24"/>
                <w:szCs w:val="24"/>
              </w:rPr>
              <w:t xml:space="preserve">valuation of power pricing for five-year period (2010-2014). </w:t>
            </w:r>
            <w:r>
              <w:rPr>
                <w:rFonts w:ascii="Times New Roman" w:hAnsi="Times New Roman" w:cs="Times New Roman"/>
                <w:sz w:val="24"/>
                <w:szCs w:val="24"/>
              </w:rPr>
              <w:t xml:space="preserve">Provides for MW </w:t>
            </w:r>
            <w:r w:rsidR="00AE4CE0">
              <w:rPr>
                <w:rFonts w:ascii="Times New Roman" w:hAnsi="Times New Roman" w:cs="Times New Roman"/>
                <w:sz w:val="24"/>
                <w:szCs w:val="24"/>
              </w:rPr>
              <w:t>rate</w:t>
            </w:r>
            <w:r>
              <w:rPr>
                <w:rFonts w:ascii="Times New Roman" w:hAnsi="Times New Roman" w:cs="Times New Roman"/>
                <w:sz w:val="24"/>
                <w:szCs w:val="24"/>
              </w:rPr>
              <w:t xml:space="preserve"> phase-in</w:t>
            </w:r>
            <w:r w:rsidR="00000C45">
              <w:rPr>
                <w:rFonts w:ascii="Times New Roman" w:hAnsi="Times New Roman" w:cs="Times New Roman"/>
                <w:sz w:val="24"/>
                <w:szCs w:val="24"/>
              </w:rPr>
              <w:t>.</w:t>
            </w:r>
            <w:r w:rsidR="00017B34">
              <w:rPr>
                <w:rFonts w:ascii="Times New Roman" w:hAnsi="Times New Roman" w:cs="Times New Roman"/>
                <w:sz w:val="24"/>
                <w:szCs w:val="24"/>
              </w:rPr>
              <w:t xml:space="preserve"> </w:t>
            </w:r>
            <w:r w:rsidR="0078238F">
              <w:rPr>
                <w:rFonts w:ascii="Times New Roman" w:hAnsi="Times New Roman" w:cs="Times New Roman"/>
                <w:sz w:val="24"/>
                <w:szCs w:val="24"/>
              </w:rPr>
              <w:t xml:space="preserve">MW rates lower than </w:t>
            </w:r>
            <w:r w:rsidR="00017B34">
              <w:rPr>
                <w:rFonts w:ascii="Times New Roman" w:hAnsi="Times New Roman" w:cs="Times New Roman"/>
                <w:sz w:val="24"/>
                <w:szCs w:val="24"/>
              </w:rPr>
              <w:t xml:space="preserve">current policy. </w:t>
            </w:r>
          </w:p>
        </w:tc>
      </w:tr>
      <w:tr w:rsidR="00B3296A" w14:paraId="3434B203" w14:textId="77777777" w:rsidTr="00BC6A69">
        <w:tc>
          <w:tcPr>
            <w:tcW w:w="1550" w:type="dxa"/>
          </w:tcPr>
          <w:p w14:paraId="17D22784" w14:textId="55CB908C" w:rsidR="00B3296A" w:rsidRDefault="00B3296A" w:rsidP="00DD18FF">
            <w:pPr>
              <w:rPr>
                <w:rFonts w:ascii="Times New Roman" w:hAnsi="Times New Roman" w:cs="Times New Roman"/>
                <w:sz w:val="24"/>
                <w:szCs w:val="24"/>
              </w:rPr>
            </w:pPr>
            <w:r>
              <w:rPr>
                <w:rFonts w:ascii="Times New Roman" w:hAnsi="Times New Roman" w:cs="Times New Roman"/>
                <w:sz w:val="24"/>
                <w:szCs w:val="24"/>
              </w:rPr>
              <w:t>Approach to Obtaining Fair Market Value for Wind Energy</w:t>
            </w:r>
          </w:p>
        </w:tc>
        <w:tc>
          <w:tcPr>
            <w:tcW w:w="3778" w:type="dxa"/>
          </w:tcPr>
          <w:p w14:paraId="7442C107" w14:textId="36A13704" w:rsidR="00B3296A" w:rsidRDefault="0078238F" w:rsidP="00AE4CE0">
            <w:pPr>
              <w:rPr>
                <w:rFonts w:ascii="Times New Roman" w:hAnsi="Times New Roman" w:cs="Times New Roman"/>
                <w:sz w:val="24"/>
                <w:szCs w:val="24"/>
              </w:rPr>
            </w:pPr>
            <w:r>
              <w:rPr>
                <w:rFonts w:ascii="Times New Roman" w:hAnsi="Times New Roman" w:cs="Times New Roman"/>
                <w:sz w:val="24"/>
                <w:szCs w:val="24"/>
              </w:rPr>
              <w:t xml:space="preserve">Policy includes acreage and MW rates. Rates are based on NASS data and </w:t>
            </w:r>
            <w:r w:rsidR="00000C45">
              <w:rPr>
                <w:rFonts w:ascii="Times New Roman" w:hAnsi="Times New Roman" w:cs="Times New Roman"/>
                <w:sz w:val="24"/>
                <w:szCs w:val="24"/>
              </w:rPr>
              <w:t xml:space="preserve">valuation of power pricing in 2008. </w:t>
            </w:r>
            <w:r w:rsidR="00C22F57">
              <w:rPr>
                <w:rFonts w:ascii="Times New Roman" w:hAnsi="Times New Roman" w:cs="Times New Roman"/>
                <w:sz w:val="24"/>
                <w:szCs w:val="24"/>
              </w:rPr>
              <w:t>Does not provide for the phase-in of MW capacity rates following commencement of power generation</w:t>
            </w:r>
            <w:r w:rsidR="00000C45">
              <w:rPr>
                <w:rFonts w:ascii="Times New Roman" w:hAnsi="Times New Roman" w:cs="Times New Roman"/>
                <w:sz w:val="24"/>
                <w:szCs w:val="24"/>
              </w:rPr>
              <w:t>.</w:t>
            </w:r>
          </w:p>
        </w:tc>
        <w:tc>
          <w:tcPr>
            <w:tcW w:w="4140" w:type="dxa"/>
          </w:tcPr>
          <w:p w14:paraId="3FF41939" w14:textId="70A8B9D5" w:rsidR="00B3296A" w:rsidRDefault="00BC6A69" w:rsidP="00BC6A69">
            <w:pPr>
              <w:rPr>
                <w:rFonts w:ascii="Times New Roman" w:hAnsi="Times New Roman" w:cs="Times New Roman"/>
                <w:sz w:val="24"/>
                <w:szCs w:val="24"/>
              </w:rPr>
            </w:pPr>
            <w:r>
              <w:rPr>
                <w:rFonts w:ascii="Times New Roman" w:hAnsi="Times New Roman" w:cs="Times New Roman"/>
                <w:sz w:val="24"/>
                <w:szCs w:val="24"/>
              </w:rPr>
              <w:t>Final rule includes acreage and MW rates (aligns approach for wind and solar). Initial rates based on NASS land data and valuation of power pricing for five-year period (2010-2014). Provides for MW rate phase-in.  Rule’s rates based on market surveys prepared by the Office of Valuation Services.</w:t>
            </w:r>
          </w:p>
        </w:tc>
      </w:tr>
      <w:tr w:rsidR="00B16DA4" w14:paraId="33CFBA42" w14:textId="77777777" w:rsidTr="00BC6A69">
        <w:tc>
          <w:tcPr>
            <w:tcW w:w="1550" w:type="dxa"/>
          </w:tcPr>
          <w:p w14:paraId="358596BF" w14:textId="768A51DC" w:rsidR="00B16DA4" w:rsidRDefault="00B16DA4">
            <w:pPr>
              <w:rPr>
                <w:rFonts w:ascii="Times New Roman" w:hAnsi="Times New Roman" w:cs="Times New Roman"/>
                <w:sz w:val="24"/>
                <w:szCs w:val="24"/>
              </w:rPr>
            </w:pPr>
            <w:r>
              <w:rPr>
                <w:rFonts w:ascii="Times New Roman" w:hAnsi="Times New Roman" w:cs="Times New Roman"/>
                <w:sz w:val="24"/>
                <w:szCs w:val="24"/>
              </w:rPr>
              <w:t xml:space="preserve">Acreage Rent &amp; MW Capacity Fee Changes </w:t>
            </w:r>
            <w:r w:rsidR="0078238F">
              <w:rPr>
                <w:rFonts w:ascii="Times New Roman" w:hAnsi="Times New Roman" w:cs="Times New Roman"/>
                <w:sz w:val="24"/>
                <w:szCs w:val="24"/>
              </w:rPr>
              <w:t xml:space="preserve">over </w:t>
            </w:r>
            <w:r>
              <w:rPr>
                <w:rFonts w:ascii="Times New Roman" w:hAnsi="Times New Roman" w:cs="Times New Roman"/>
                <w:sz w:val="24"/>
                <w:szCs w:val="24"/>
              </w:rPr>
              <w:t>Time</w:t>
            </w:r>
          </w:p>
        </w:tc>
        <w:tc>
          <w:tcPr>
            <w:tcW w:w="3778" w:type="dxa"/>
          </w:tcPr>
          <w:p w14:paraId="60F4F547" w14:textId="7B81FA3B" w:rsidR="00B16DA4" w:rsidRDefault="00B16DA4" w:rsidP="00B16DA4">
            <w:pPr>
              <w:rPr>
                <w:rFonts w:ascii="Times New Roman" w:hAnsi="Times New Roman" w:cs="Times New Roman"/>
                <w:sz w:val="24"/>
                <w:szCs w:val="24"/>
              </w:rPr>
            </w:pPr>
            <w:r>
              <w:rPr>
                <w:rFonts w:ascii="Times New Roman" w:hAnsi="Times New Roman" w:cs="Times New Roman"/>
                <w:sz w:val="24"/>
                <w:szCs w:val="24"/>
              </w:rPr>
              <w:t>Periodic updates to rates based on changes in NASS land values and power pricing markets.</w:t>
            </w:r>
          </w:p>
        </w:tc>
        <w:tc>
          <w:tcPr>
            <w:tcW w:w="4140" w:type="dxa"/>
          </w:tcPr>
          <w:p w14:paraId="3072811B" w14:textId="1A00AD93" w:rsidR="00B16DA4" w:rsidRDefault="00BC6A69" w:rsidP="00BC6A69">
            <w:pPr>
              <w:rPr>
                <w:rFonts w:ascii="Times New Roman" w:hAnsi="Times New Roman" w:cs="Times New Roman"/>
                <w:sz w:val="24"/>
                <w:szCs w:val="24"/>
              </w:rPr>
            </w:pPr>
            <w:r>
              <w:rPr>
                <w:rFonts w:ascii="Times New Roman" w:hAnsi="Times New Roman" w:cs="Times New Roman"/>
                <w:sz w:val="24"/>
                <w:szCs w:val="24"/>
              </w:rPr>
              <w:t>Two options: (1) Periodic updates to rates based on changes in NASS land values and power pricing markets (</w:t>
            </w:r>
            <w:r>
              <w:rPr>
                <w:rFonts w:ascii="Times New Roman" w:hAnsi="Times New Roman" w:cs="Times New Roman"/>
                <w:i/>
                <w:sz w:val="24"/>
                <w:szCs w:val="24"/>
              </w:rPr>
              <w:t>Standard Rate Adjustments</w:t>
            </w:r>
            <w:r>
              <w:rPr>
                <w:rFonts w:ascii="Times New Roman" w:hAnsi="Times New Roman" w:cs="Times New Roman"/>
                <w:sz w:val="24"/>
                <w:szCs w:val="24"/>
              </w:rPr>
              <w:t>), or (2) Fixed percentage adjustments at fixed intervals from date of issuance (</w:t>
            </w:r>
            <w:r>
              <w:rPr>
                <w:rFonts w:ascii="Times New Roman" w:hAnsi="Times New Roman" w:cs="Times New Roman"/>
                <w:i/>
                <w:sz w:val="24"/>
                <w:szCs w:val="24"/>
              </w:rPr>
              <w:t>Scheduled Rate Adjustments</w:t>
            </w:r>
            <w:r>
              <w:rPr>
                <w:rFonts w:ascii="Times New Roman" w:hAnsi="Times New Roman" w:cs="Times New Roman"/>
                <w:sz w:val="24"/>
                <w:szCs w:val="24"/>
              </w:rPr>
              <w:t>).</w:t>
            </w:r>
          </w:p>
        </w:tc>
      </w:tr>
      <w:tr w:rsidR="00B16DA4" w14:paraId="704E05AB" w14:textId="77777777" w:rsidTr="00BC6A69">
        <w:tc>
          <w:tcPr>
            <w:tcW w:w="1550" w:type="dxa"/>
          </w:tcPr>
          <w:p w14:paraId="2DBBCB3D" w14:textId="33736E57" w:rsidR="00B16DA4" w:rsidRDefault="00B16DA4">
            <w:pPr>
              <w:rPr>
                <w:rFonts w:ascii="Times New Roman" w:hAnsi="Times New Roman" w:cs="Times New Roman"/>
                <w:sz w:val="24"/>
                <w:szCs w:val="24"/>
              </w:rPr>
            </w:pPr>
            <w:r>
              <w:rPr>
                <w:rFonts w:ascii="Times New Roman" w:hAnsi="Times New Roman" w:cs="Times New Roman"/>
                <w:sz w:val="24"/>
                <w:szCs w:val="24"/>
              </w:rPr>
              <w:t>Approach to Competitive Leasing</w:t>
            </w:r>
          </w:p>
        </w:tc>
        <w:tc>
          <w:tcPr>
            <w:tcW w:w="3778" w:type="dxa"/>
          </w:tcPr>
          <w:p w14:paraId="146843CD" w14:textId="7BCC738C" w:rsidR="00B16DA4" w:rsidRDefault="00B16DA4" w:rsidP="00B16DA4">
            <w:pPr>
              <w:rPr>
                <w:rFonts w:ascii="Times New Roman" w:hAnsi="Times New Roman" w:cs="Times New Roman"/>
                <w:sz w:val="24"/>
                <w:szCs w:val="24"/>
              </w:rPr>
            </w:pPr>
            <w:r>
              <w:rPr>
                <w:rFonts w:ascii="Times New Roman" w:hAnsi="Times New Roman" w:cs="Times New Roman"/>
                <w:sz w:val="24"/>
                <w:szCs w:val="24"/>
              </w:rPr>
              <w:t xml:space="preserve">Competition </w:t>
            </w:r>
            <w:r w:rsidR="0078238F">
              <w:rPr>
                <w:rFonts w:ascii="Times New Roman" w:hAnsi="Times New Roman" w:cs="Times New Roman"/>
                <w:sz w:val="24"/>
                <w:szCs w:val="24"/>
              </w:rPr>
              <w:t xml:space="preserve">allowed </w:t>
            </w:r>
            <w:r>
              <w:rPr>
                <w:rFonts w:ascii="Times New Roman" w:hAnsi="Times New Roman" w:cs="Times New Roman"/>
                <w:sz w:val="24"/>
                <w:szCs w:val="24"/>
              </w:rPr>
              <w:t xml:space="preserve">only when </w:t>
            </w:r>
            <w:r w:rsidR="0078238F">
              <w:rPr>
                <w:rFonts w:ascii="Times New Roman" w:hAnsi="Times New Roman" w:cs="Times New Roman"/>
                <w:sz w:val="24"/>
                <w:szCs w:val="24"/>
              </w:rPr>
              <w:t xml:space="preserve">applicants submit </w:t>
            </w:r>
            <w:r>
              <w:rPr>
                <w:rFonts w:ascii="Times New Roman" w:hAnsi="Times New Roman" w:cs="Times New Roman"/>
                <w:sz w:val="24"/>
                <w:szCs w:val="24"/>
              </w:rPr>
              <w:t>competing applications for</w:t>
            </w:r>
            <w:r w:rsidR="0078238F">
              <w:rPr>
                <w:rFonts w:ascii="Times New Roman" w:hAnsi="Times New Roman" w:cs="Times New Roman"/>
                <w:sz w:val="24"/>
                <w:szCs w:val="24"/>
              </w:rPr>
              <w:t xml:space="preserve"> rights of way in</w:t>
            </w:r>
            <w:r>
              <w:rPr>
                <w:rFonts w:ascii="Times New Roman" w:hAnsi="Times New Roman" w:cs="Times New Roman"/>
                <w:sz w:val="24"/>
                <w:szCs w:val="24"/>
              </w:rPr>
              <w:t xml:space="preserve"> the same </w:t>
            </w:r>
            <w:r w:rsidR="0078238F">
              <w:rPr>
                <w:rFonts w:ascii="Times New Roman" w:hAnsi="Times New Roman" w:cs="Times New Roman"/>
                <w:sz w:val="24"/>
                <w:szCs w:val="24"/>
              </w:rPr>
              <w:t>area</w:t>
            </w:r>
            <w:r>
              <w:rPr>
                <w:rFonts w:ascii="Times New Roman" w:hAnsi="Times New Roman" w:cs="Times New Roman"/>
                <w:sz w:val="24"/>
                <w:szCs w:val="24"/>
              </w:rPr>
              <w:t>.</w:t>
            </w:r>
          </w:p>
          <w:p w14:paraId="5310600B" w14:textId="77777777" w:rsidR="0078238F" w:rsidRDefault="0078238F" w:rsidP="00B16DA4">
            <w:pPr>
              <w:rPr>
                <w:rFonts w:ascii="Times New Roman" w:hAnsi="Times New Roman" w:cs="Times New Roman"/>
                <w:sz w:val="24"/>
                <w:szCs w:val="24"/>
              </w:rPr>
            </w:pPr>
          </w:p>
          <w:p w14:paraId="1870B908" w14:textId="51DDD001" w:rsidR="00B16DA4" w:rsidRDefault="00B16DA4" w:rsidP="00B16DA4">
            <w:pPr>
              <w:rPr>
                <w:rFonts w:ascii="Times New Roman" w:hAnsi="Times New Roman" w:cs="Times New Roman"/>
                <w:sz w:val="24"/>
                <w:szCs w:val="24"/>
              </w:rPr>
            </w:pPr>
            <w:r>
              <w:rPr>
                <w:rFonts w:ascii="Times New Roman" w:hAnsi="Times New Roman" w:cs="Times New Roman"/>
                <w:sz w:val="24"/>
                <w:szCs w:val="24"/>
              </w:rPr>
              <w:t>No competitive leasing allowed</w:t>
            </w:r>
            <w:r w:rsidR="00017B34">
              <w:rPr>
                <w:rFonts w:ascii="Times New Roman" w:hAnsi="Times New Roman" w:cs="Times New Roman"/>
                <w:sz w:val="24"/>
                <w:szCs w:val="24"/>
              </w:rPr>
              <w:t xml:space="preserve"> at BLM’s own initiative</w:t>
            </w:r>
            <w:r>
              <w:rPr>
                <w:rFonts w:ascii="Times New Roman" w:hAnsi="Times New Roman" w:cs="Times New Roman"/>
                <w:sz w:val="24"/>
                <w:szCs w:val="24"/>
              </w:rPr>
              <w:t>.</w:t>
            </w:r>
          </w:p>
        </w:tc>
        <w:tc>
          <w:tcPr>
            <w:tcW w:w="4140" w:type="dxa"/>
          </w:tcPr>
          <w:p w14:paraId="266D3061" w14:textId="5C4426E6" w:rsidR="00B16DA4" w:rsidRDefault="00017B34" w:rsidP="00B16DA4">
            <w:pPr>
              <w:rPr>
                <w:rFonts w:ascii="Times New Roman" w:hAnsi="Times New Roman" w:cs="Times New Roman"/>
                <w:sz w:val="24"/>
                <w:szCs w:val="24"/>
              </w:rPr>
            </w:pPr>
            <w:r>
              <w:rPr>
                <w:rFonts w:ascii="Times New Roman" w:hAnsi="Times New Roman" w:cs="Times New Roman"/>
                <w:sz w:val="24"/>
                <w:szCs w:val="24"/>
              </w:rPr>
              <w:t xml:space="preserve">Allows BLM to utilize competitive processes at its own initiative or when there </w:t>
            </w:r>
            <w:r w:rsidR="00BA5239">
              <w:rPr>
                <w:rFonts w:ascii="Times New Roman" w:hAnsi="Times New Roman" w:cs="Times New Roman"/>
                <w:sz w:val="24"/>
                <w:szCs w:val="24"/>
              </w:rPr>
              <w:t>are competing</w:t>
            </w:r>
            <w:r w:rsidR="00B16DA4">
              <w:rPr>
                <w:rFonts w:ascii="Times New Roman" w:hAnsi="Times New Roman" w:cs="Times New Roman"/>
                <w:sz w:val="24"/>
                <w:szCs w:val="24"/>
              </w:rPr>
              <w:t xml:space="preserve"> applications.</w:t>
            </w:r>
          </w:p>
          <w:p w14:paraId="16B3FE9F" w14:textId="364168FA" w:rsidR="00B16DA4" w:rsidRDefault="00017B34" w:rsidP="00017B34">
            <w:pPr>
              <w:pStyle w:val="ListParagraph"/>
              <w:numPr>
                <w:ilvl w:val="0"/>
                <w:numId w:val="19"/>
              </w:numPr>
              <w:ind w:left="252" w:hanging="180"/>
            </w:pPr>
            <w:r w:rsidRPr="00017B34">
              <w:t>Within DLA</w:t>
            </w:r>
            <w:r>
              <w:t>s</w:t>
            </w:r>
            <w:r w:rsidR="0078238F">
              <w:t>,</w:t>
            </w:r>
            <w:r w:rsidRPr="00017B34">
              <w:t xml:space="preserve"> allows </w:t>
            </w:r>
            <w:r>
              <w:t>lease</w:t>
            </w:r>
            <w:r w:rsidRPr="00017B34">
              <w:t xml:space="preserve"> </w:t>
            </w:r>
            <w:r w:rsidR="00B16DA4" w:rsidRPr="00017B34">
              <w:t xml:space="preserve">award </w:t>
            </w:r>
            <w:r>
              <w:t>to highest bidder</w:t>
            </w:r>
            <w:r w:rsidR="00B16DA4" w:rsidRPr="00017B34">
              <w:t>.</w:t>
            </w:r>
          </w:p>
          <w:p w14:paraId="37772187" w14:textId="1F1B68B6" w:rsidR="00017B34" w:rsidRPr="00017B34" w:rsidRDefault="00017B34" w:rsidP="00BC6A69">
            <w:pPr>
              <w:pStyle w:val="ListParagraph"/>
              <w:numPr>
                <w:ilvl w:val="0"/>
                <w:numId w:val="19"/>
              </w:numPr>
              <w:ind w:left="252" w:hanging="180"/>
            </w:pPr>
            <w:r>
              <w:t>Outside of DLAs, high</w:t>
            </w:r>
            <w:r w:rsidR="0078238F">
              <w:t>est</w:t>
            </w:r>
            <w:r>
              <w:t xml:space="preserve"> bidder obtains </w:t>
            </w:r>
            <w:r w:rsidR="00BC6A69">
              <w:t>“preferred applicant status</w:t>
            </w:r>
            <w:r>
              <w:t>.</w:t>
            </w:r>
            <w:r w:rsidR="00BC6A69">
              <w:t>”</w:t>
            </w:r>
          </w:p>
        </w:tc>
      </w:tr>
      <w:tr w:rsidR="00B16DA4" w14:paraId="495B85CF" w14:textId="77777777" w:rsidTr="00BC6A69">
        <w:tc>
          <w:tcPr>
            <w:tcW w:w="1550" w:type="dxa"/>
          </w:tcPr>
          <w:p w14:paraId="405FBD5F" w14:textId="78B680DE" w:rsidR="00B16DA4" w:rsidRDefault="00B16DA4" w:rsidP="00AE4CE0">
            <w:pPr>
              <w:rPr>
                <w:rFonts w:ascii="Times New Roman" w:hAnsi="Times New Roman" w:cs="Times New Roman"/>
                <w:sz w:val="24"/>
                <w:szCs w:val="24"/>
              </w:rPr>
            </w:pPr>
            <w:r>
              <w:rPr>
                <w:rFonts w:ascii="Times New Roman" w:hAnsi="Times New Roman" w:cs="Times New Roman"/>
                <w:sz w:val="24"/>
                <w:szCs w:val="24"/>
              </w:rPr>
              <w:t>Approach to Development With</w:t>
            </w:r>
            <w:r w:rsidR="0078238F">
              <w:rPr>
                <w:rFonts w:ascii="Times New Roman" w:hAnsi="Times New Roman" w:cs="Times New Roman"/>
                <w:sz w:val="24"/>
                <w:szCs w:val="24"/>
              </w:rPr>
              <w:t>in</w:t>
            </w:r>
            <w:r>
              <w:rPr>
                <w:rFonts w:ascii="Times New Roman" w:hAnsi="Times New Roman" w:cs="Times New Roman"/>
                <w:sz w:val="24"/>
                <w:szCs w:val="24"/>
              </w:rPr>
              <w:t xml:space="preserve"> </w:t>
            </w:r>
            <w:r w:rsidR="00017B34">
              <w:rPr>
                <w:rFonts w:ascii="Times New Roman" w:hAnsi="Times New Roman" w:cs="Times New Roman"/>
                <w:sz w:val="24"/>
                <w:szCs w:val="24"/>
              </w:rPr>
              <w:t>DLAs</w:t>
            </w:r>
            <w:r w:rsidR="00AE4CE0">
              <w:rPr>
                <w:rFonts w:ascii="Times New Roman" w:hAnsi="Times New Roman" w:cs="Times New Roman"/>
                <w:sz w:val="24"/>
                <w:szCs w:val="24"/>
              </w:rPr>
              <w:t xml:space="preserve"> (e.g., SEZs)</w:t>
            </w:r>
          </w:p>
        </w:tc>
        <w:tc>
          <w:tcPr>
            <w:tcW w:w="3778" w:type="dxa"/>
          </w:tcPr>
          <w:p w14:paraId="33F0CAD1" w14:textId="62591911" w:rsidR="00B16DA4" w:rsidRDefault="00B16DA4">
            <w:pPr>
              <w:rPr>
                <w:rFonts w:ascii="Times New Roman" w:hAnsi="Times New Roman" w:cs="Times New Roman"/>
                <w:sz w:val="24"/>
                <w:szCs w:val="24"/>
              </w:rPr>
            </w:pPr>
            <w:r>
              <w:rPr>
                <w:rFonts w:ascii="Times New Roman" w:hAnsi="Times New Roman" w:cs="Times New Roman"/>
                <w:sz w:val="24"/>
                <w:szCs w:val="24"/>
              </w:rPr>
              <w:t>Compete for preferred applicant status</w:t>
            </w:r>
            <w:r w:rsidR="0078238F">
              <w:rPr>
                <w:rFonts w:ascii="Times New Roman" w:hAnsi="Times New Roman" w:cs="Times New Roman"/>
                <w:sz w:val="24"/>
                <w:szCs w:val="24"/>
              </w:rPr>
              <w:t>;</w:t>
            </w:r>
            <w:r>
              <w:rPr>
                <w:rFonts w:ascii="Times New Roman" w:hAnsi="Times New Roman" w:cs="Times New Roman"/>
                <w:sz w:val="24"/>
                <w:szCs w:val="24"/>
              </w:rPr>
              <w:t xml:space="preserve"> application processed</w:t>
            </w:r>
            <w:r w:rsidR="0078238F">
              <w:rPr>
                <w:rFonts w:ascii="Times New Roman" w:hAnsi="Times New Roman" w:cs="Times New Roman"/>
                <w:sz w:val="24"/>
                <w:szCs w:val="24"/>
              </w:rPr>
              <w:t xml:space="preserve"> according to BLM’s usual procedures</w:t>
            </w:r>
            <w:r>
              <w:rPr>
                <w:rFonts w:ascii="Times New Roman" w:hAnsi="Times New Roman" w:cs="Times New Roman"/>
                <w:sz w:val="24"/>
                <w:szCs w:val="24"/>
              </w:rPr>
              <w:t xml:space="preserve">.  </w:t>
            </w:r>
          </w:p>
        </w:tc>
        <w:tc>
          <w:tcPr>
            <w:tcW w:w="4140" w:type="dxa"/>
          </w:tcPr>
          <w:p w14:paraId="2CC0D4C0" w14:textId="62B390FD" w:rsidR="00BC6A69" w:rsidRDefault="00BC6A69" w:rsidP="00BC6A69">
            <w:pPr>
              <w:rPr>
                <w:rFonts w:ascii="Times New Roman" w:hAnsi="Times New Roman" w:cs="Times New Roman"/>
                <w:sz w:val="24"/>
                <w:szCs w:val="24"/>
              </w:rPr>
            </w:pPr>
            <w:r>
              <w:rPr>
                <w:rFonts w:ascii="Times New Roman" w:hAnsi="Times New Roman" w:cs="Times New Roman"/>
                <w:i/>
                <w:sz w:val="24"/>
                <w:szCs w:val="24"/>
              </w:rPr>
              <w:t>For Grants</w:t>
            </w:r>
            <w:r w:rsidR="00513C95">
              <w:rPr>
                <w:rFonts w:ascii="Times New Roman" w:hAnsi="Times New Roman" w:cs="Times New Roman"/>
                <w:i/>
                <w:sz w:val="24"/>
                <w:szCs w:val="24"/>
              </w:rPr>
              <w:t xml:space="preserve"> (outside DLAs)</w:t>
            </w:r>
            <w:r w:rsidR="00513C95">
              <w:rPr>
                <w:rStyle w:val="FootnoteReference"/>
                <w:rFonts w:ascii="Times New Roman" w:hAnsi="Times New Roman" w:cs="Times New Roman"/>
                <w:i/>
                <w:sz w:val="24"/>
                <w:szCs w:val="24"/>
              </w:rPr>
              <w:footnoteReference w:id="2"/>
            </w:r>
            <w:r>
              <w:rPr>
                <w:rFonts w:ascii="Times New Roman" w:hAnsi="Times New Roman" w:cs="Times New Roman"/>
                <w:i/>
                <w:sz w:val="24"/>
                <w:szCs w:val="24"/>
              </w:rPr>
              <w:t>-</w:t>
            </w:r>
            <w:r>
              <w:rPr>
                <w:rFonts w:ascii="Times New Roman" w:hAnsi="Times New Roman" w:cs="Times New Roman"/>
                <w:sz w:val="24"/>
                <w:szCs w:val="24"/>
              </w:rPr>
              <w:t>Compete for preferred applicant status; application processed according to BLM’s usual procedures.</w:t>
            </w:r>
          </w:p>
          <w:p w14:paraId="7CAE9EDD" w14:textId="77777777" w:rsidR="00BC6A69" w:rsidRDefault="00BC6A69" w:rsidP="00BC6A69">
            <w:pPr>
              <w:rPr>
                <w:rFonts w:ascii="Times New Roman" w:hAnsi="Times New Roman" w:cs="Times New Roman"/>
                <w:sz w:val="24"/>
                <w:szCs w:val="24"/>
              </w:rPr>
            </w:pPr>
          </w:p>
          <w:p w14:paraId="37A17D95" w14:textId="0176F7F2" w:rsidR="00B16DA4" w:rsidRDefault="00BC6A69" w:rsidP="00BC6A69">
            <w:pPr>
              <w:rPr>
                <w:rFonts w:ascii="Times New Roman" w:hAnsi="Times New Roman" w:cs="Times New Roman"/>
                <w:sz w:val="24"/>
                <w:szCs w:val="24"/>
              </w:rPr>
            </w:pPr>
            <w:r>
              <w:rPr>
                <w:rFonts w:ascii="Times New Roman" w:hAnsi="Times New Roman" w:cs="Times New Roman"/>
                <w:i/>
                <w:sz w:val="24"/>
                <w:szCs w:val="24"/>
              </w:rPr>
              <w:t>For Leases</w:t>
            </w:r>
            <w:r w:rsidR="00513C95">
              <w:rPr>
                <w:rFonts w:ascii="Times New Roman" w:hAnsi="Times New Roman" w:cs="Times New Roman"/>
                <w:i/>
                <w:sz w:val="24"/>
                <w:szCs w:val="24"/>
              </w:rPr>
              <w:t xml:space="preserve"> (inside DLAs)</w:t>
            </w:r>
            <w:r>
              <w:rPr>
                <w:rFonts w:ascii="Times New Roman" w:hAnsi="Times New Roman" w:cs="Times New Roman"/>
                <w:i/>
                <w:sz w:val="24"/>
                <w:szCs w:val="24"/>
              </w:rPr>
              <w:t>-</w:t>
            </w:r>
            <w:r>
              <w:rPr>
                <w:rFonts w:ascii="Times New Roman" w:hAnsi="Times New Roman" w:cs="Times New Roman"/>
                <w:sz w:val="24"/>
                <w:szCs w:val="24"/>
              </w:rPr>
              <w:t>High bidder receives lease following auction based on preliminary NEPA; permission to begin construction subject to project-specific reviews.</w:t>
            </w:r>
          </w:p>
        </w:tc>
      </w:tr>
      <w:tr w:rsidR="00B16DA4" w14:paraId="44216592" w14:textId="77777777" w:rsidTr="0006024E">
        <w:trPr>
          <w:cantSplit/>
        </w:trPr>
        <w:tc>
          <w:tcPr>
            <w:tcW w:w="1550" w:type="dxa"/>
          </w:tcPr>
          <w:p w14:paraId="0CD69B94" w14:textId="426A47DC" w:rsidR="00B16DA4" w:rsidRDefault="00B16DA4" w:rsidP="00AE4CE0">
            <w:pPr>
              <w:rPr>
                <w:rFonts w:ascii="Times New Roman" w:hAnsi="Times New Roman" w:cs="Times New Roman"/>
                <w:sz w:val="24"/>
                <w:szCs w:val="24"/>
              </w:rPr>
            </w:pPr>
            <w:r>
              <w:rPr>
                <w:rFonts w:ascii="Times New Roman" w:hAnsi="Times New Roman" w:cs="Times New Roman"/>
                <w:sz w:val="24"/>
                <w:szCs w:val="24"/>
              </w:rPr>
              <w:lastRenderedPageBreak/>
              <w:t>Bonding</w:t>
            </w:r>
          </w:p>
        </w:tc>
        <w:tc>
          <w:tcPr>
            <w:tcW w:w="3778" w:type="dxa"/>
          </w:tcPr>
          <w:p w14:paraId="657CB55F" w14:textId="520BF989" w:rsidR="00B16DA4" w:rsidRDefault="00B16DA4" w:rsidP="00AE4CE0">
            <w:pPr>
              <w:rPr>
                <w:rFonts w:ascii="Times New Roman" w:hAnsi="Times New Roman" w:cs="Times New Roman"/>
                <w:sz w:val="24"/>
                <w:szCs w:val="24"/>
              </w:rPr>
            </w:pPr>
            <w:r w:rsidRPr="00017B34">
              <w:rPr>
                <w:rFonts w:ascii="Times New Roman" w:hAnsi="Times New Roman" w:cs="Times New Roman"/>
                <w:i/>
                <w:sz w:val="24"/>
                <w:szCs w:val="24"/>
              </w:rPr>
              <w:t>For Grants</w:t>
            </w:r>
            <w:r>
              <w:rPr>
                <w:rFonts w:ascii="Times New Roman" w:hAnsi="Times New Roman" w:cs="Times New Roman"/>
                <w:sz w:val="24"/>
                <w:szCs w:val="24"/>
              </w:rPr>
              <w:t xml:space="preserve">-Based on reclamation cost estimate.  Does not consider salvage/recycling </w:t>
            </w:r>
            <w:r w:rsidR="00BC6A69">
              <w:rPr>
                <w:rFonts w:ascii="Times New Roman" w:hAnsi="Times New Roman" w:cs="Times New Roman"/>
                <w:sz w:val="24"/>
                <w:szCs w:val="24"/>
              </w:rPr>
              <w:t>values</w:t>
            </w:r>
            <w:r>
              <w:rPr>
                <w:rFonts w:ascii="Times New Roman" w:hAnsi="Times New Roman" w:cs="Times New Roman"/>
                <w:sz w:val="24"/>
                <w:szCs w:val="24"/>
              </w:rPr>
              <w:t xml:space="preserve">.  Bond </w:t>
            </w:r>
            <w:r w:rsidR="00BA5239">
              <w:rPr>
                <w:rFonts w:ascii="Times New Roman" w:hAnsi="Times New Roman" w:cs="Times New Roman"/>
                <w:sz w:val="24"/>
                <w:szCs w:val="24"/>
              </w:rPr>
              <w:t>cannot</w:t>
            </w:r>
            <w:r>
              <w:rPr>
                <w:rFonts w:ascii="Times New Roman" w:hAnsi="Times New Roman" w:cs="Times New Roman"/>
                <w:sz w:val="24"/>
                <w:szCs w:val="24"/>
              </w:rPr>
              <w:t xml:space="preserve"> be less than minimum bond amount </w:t>
            </w:r>
            <w:r w:rsidR="0078238F">
              <w:rPr>
                <w:rFonts w:ascii="Times New Roman" w:hAnsi="Times New Roman" w:cs="Times New Roman"/>
                <w:sz w:val="24"/>
                <w:szCs w:val="24"/>
              </w:rPr>
              <w:t>(</w:t>
            </w:r>
            <w:r>
              <w:rPr>
                <w:rFonts w:ascii="Times New Roman" w:hAnsi="Times New Roman" w:cs="Times New Roman"/>
                <w:sz w:val="24"/>
                <w:szCs w:val="24"/>
              </w:rPr>
              <w:t>if one</w:t>
            </w:r>
            <w:r w:rsidR="00000C45">
              <w:rPr>
                <w:rFonts w:ascii="Times New Roman" w:hAnsi="Times New Roman" w:cs="Times New Roman"/>
                <w:sz w:val="24"/>
                <w:szCs w:val="24"/>
              </w:rPr>
              <w:t xml:space="preserve"> is established</w:t>
            </w:r>
            <w:r w:rsidR="0078238F">
              <w:rPr>
                <w:rFonts w:ascii="Times New Roman" w:hAnsi="Times New Roman" w:cs="Times New Roman"/>
                <w:sz w:val="24"/>
                <w:szCs w:val="24"/>
              </w:rPr>
              <w:t>)</w:t>
            </w:r>
            <w:r>
              <w:rPr>
                <w:rFonts w:ascii="Times New Roman" w:hAnsi="Times New Roman" w:cs="Times New Roman"/>
                <w:sz w:val="24"/>
                <w:szCs w:val="24"/>
              </w:rPr>
              <w:t>.</w:t>
            </w:r>
          </w:p>
          <w:p w14:paraId="54785D88" w14:textId="77777777" w:rsidR="00000C45" w:rsidRDefault="00000C45" w:rsidP="00AE4CE0">
            <w:pPr>
              <w:rPr>
                <w:rFonts w:ascii="Times New Roman" w:hAnsi="Times New Roman" w:cs="Times New Roman"/>
                <w:sz w:val="24"/>
                <w:szCs w:val="24"/>
              </w:rPr>
            </w:pPr>
          </w:p>
          <w:p w14:paraId="201B35B7" w14:textId="0F238535" w:rsidR="00000C45" w:rsidRDefault="00000C45" w:rsidP="00AE4CE0">
            <w:pPr>
              <w:rPr>
                <w:rFonts w:ascii="Times New Roman" w:hAnsi="Times New Roman" w:cs="Times New Roman"/>
                <w:sz w:val="24"/>
                <w:szCs w:val="24"/>
              </w:rPr>
            </w:pPr>
            <w:r w:rsidRPr="00017B34">
              <w:rPr>
                <w:rFonts w:ascii="Times New Roman" w:hAnsi="Times New Roman" w:cs="Times New Roman"/>
                <w:i/>
                <w:sz w:val="24"/>
                <w:szCs w:val="24"/>
              </w:rPr>
              <w:t>For Leases</w:t>
            </w:r>
            <w:r>
              <w:rPr>
                <w:rFonts w:ascii="Times New Roman" w:hAnsi="Times New Roman" w:cs="Times New Roman"/>
                <w:sz w:val="24"/>
                <w:szCs w:val="24"/>
              </w:rPr>
              <w:t>-</w:t>
            </w:r>
            <w:r w:rsidR="00CD49A6">
              <w:rPr>
                <w:rFonts w:ascii="Times New Roman" w:hAnsi="Times New Roman" w:cs="Times New Roman"/>
                <w:sz w:val="24"/>
                <w:szCs w:val="24"/>
              </w:rPr>
              <w:t>Not applicable</w:t>
            </w:r>
            <w:r>
              <w:rPr>
                <w:rFonts w:ascii="Times New Roman" w:hAnsi="Times New Roman" w:cs="Times New Roman"/>
                <w:sz w:val="24"/>
                <w:szCs w:val="24"/>
              </w:rPr>
              <w:t>.</w:t>
            </w:r>
          </w:p>
        </w:tc>
        <w:tc>
          <w:tcPr>
            <w:tcW w:w="4140" w:type="dxa"/>
          </w:tcPr>
          <w:p w14:paraId="13580055" w14:textId="1435044A" w:rsidR="00B16DA4" w:rsidRDefault="00B16DA4" w:rsidP="00AE4CE0">
            <w:pPr>
              <w:rPr>
                <w:rFonts w:ascii="Times New Roman" w:hAnsi="Times New Roman" w:cs="Times New Roman"/>
                <w:sz w:val="24"/>
                <w:szCs w:val="24"/>
              </w:rPr>
            </w:pPr>
            <w:r w:rsidRPr="00017B34">
              <w:rPr>
                <w:rFonts w:ascii="Times New Roman" w:hAnsi="Times New Roman" w:cs="Times New Roman"/>
                <w:i/>
                <w:sz w:val="24"/>
                <w:szCs w:val="24"/>
              </w:rPr>
              <w:t>For Grants</w:t>
            </w:r>
            <w:r w:rsidRPr="0006024E">
              <w:rPr>
                <w:rFonts w:ascii="Times New Roman" w:hAnsi="Times New Roman" w:cs="Times New Roman"/>
                <w:b/>
                <w:sz w:val="24"/>
                <w:szCs w:val="24"/>
              </w:rPr>
              <w:t>-</w:t>
            </w:r>
            <w:r w:rsidRPr="008C1AE1">
              <w:rPr>
                <w:rFonts w:ascii="Times New Roman" w:hAnsi="Times New Roman" w:cs="Times New Roman"/>
                <w:sz w:val="24"/>
                <w:szCs w:val="24"/>
              </w:rPr>
              <w:t>B</w:t>
            </w:r>
            <w:r>
              <w:rPr>
                <w:rFonts w:ascii="Times New Roman" w:hAnsi="Times New Roman" w:cs="Times New Roman"/>
                <w:sz w:val="24"/>
                <w:szCs w:val="24"/>
              </w:rPr>
              <w:t xml:space="preserve">ond determined based on reclamation cost estimate for grants.  May consider salvage/recycling of project materials.  </w:t>
            </w:r>
            <w:r w:rsidR="0078238F">
              <w:rPr>
                <w:rFonts w:ascii="Times New Roman" w:hAnsi="Times New Roman" w:cs="Times New Roman"/>
                <w:sz w:val="24"/>
                <w:szCs w:val="24"/>
              </w:rPr>
              <w:t xml:space="preserve">If BLM approves, the bond </w:t>
            </w:r>
            <w:r>
              <w:rPr>
                <w:rFonts w:ascii="Times New Roman" w:hAnsi="Times New Roman" w:cs="Times New Roman"/>
                <w:sz w:val="24"/>
                <w:szCs w:val="24"/>
              </w:rPr>
              <w:t>may be less than min</w:t>
            </w:r>
            <w:r w:rsidR="00BC6A69">
              <w:rPr>
                <w:rFonts w:ascii="Times New Roman" w:hAnsi="Times New Roman" w:cs="Times New Roman"/>
                <w:sz w:val="24"/>
                <w:szCs w:val="24"/>
              </w:rPr>
              <w:t>.</w:t>
            </w:r>
            <w:r>
              <w:rPr>
                <w:rFonts w:ascii="Times New Roman" w:hAnsi="Times New Roman" w:cs="Times New Roman"/>
                <w:sz w:val="24"/>
                <w:szCs w:val="24"/>
              </w:rPr>
              <w:t xml:space="preserve"> </w:t>
            </w:r>
            <w:r w:rsidR="00CD49A6">
              <w:rPr>
                <w:rFonts w:ascii="Times New Roman" w:hAnsi="Times New Roman" w:cs="Times New Roman"/>
                <w:sz w:val="24"/>
                <w:szCs w:val="24"/>
              </w:rPr>
              <w:t>amount</w:t>
            </w:r>
            <w:r>
              <w:rPr>
                <w:rFonts w:ascii="Times New Roman" w:hAnsi="Times New Roman" w:cs="Times New Roman"/>
                <w:sz w:val="24"/>
                <w:szCs w:val="24"/>
              </w:rPr>
              <w:t>.</w:t>
            </w:r>
          </w:p>
          <w:p w14:paraId="53B5557D" w14:textId="77777777" w:rsidR="00B16DA4" w:rsidRDefault="00B16DA4" w:rsidP="00AE4CE0">
            <w:pPr>
              <w:rPr>
                <w:rFonts w:ascii="Times New Roman" w:hAnsi="Times New Roman" w:cs="Times New Roman"/>
                <w:sz w:val="24"/>
                <w:szCs w:val="24"/>
              </w:rPr>
            </w:pPr>
          </w:p>
          <w:p w14:paraId="4EE862C1" w14:textId="5ADF07F6" w:rsidR="00B16DA4" w:rsidRDefault="00B16DA4" w:rsidP="00AE4CE0">
            <w:pPr>
              <w:rPr>
                <w:rFonts w:ascii="Times New Roman" w:hAnsi="Times New Roman" w:cs="Times New Roman"/>
                <w:sz w:val="24"/>
                <w:szCs w:val="24"/>
              </w:rPr>
            </w:pPr>
            <w:r w:rsidRPr="00017B34">
              <w:rPr>
                <w:rFonts w:ascii="Times New Roman" w:hAnsi="Times New Roman" w:cs="Times New Roman"/>
                <w:i/>
                <w:sz w:val="24"/>
                <w:szCs w:val="24"/>
              </w:rPr>
              <w:t>For Leases</w:t>
            </w:r>
            <w:r>
              <w:rPr>
                <w:rFonts w:ascii="Times New Roman" w:hAnsi="Times New Roman" w:cs="Times New Roman"/>
                <w:sz w:val="24"/>
                <w:szCs w:val="24"/>
              </w:rPr>
              <w:t xml:space="preserve">-Bond based </w:t>
            </w:r>
            <w:r w:rsidR="00AE4CE0">
              <w:rPr>
                <w:rFonts w:ascii="Times New Roman" w:hAnsi="Times New Roman" w:cs="Times New Roman"/>
                <w:sz w:val="24"/>
                <w:szCs w:val="24"/>
              </w:rPr>
              <w:t xml:space="preserve">on rule’s </w:t>
            </w:r>
            <w:r>
              <w:rPr>
                <w:rFonts w:ascii="Times New Roman" w:hAnsi="Times New Roman" w:cs="Times New Roman"/>
                <w:sz w:val="24"/>
                <w:szCs w:val="24"/>
              </w:rPr>
              <w:t xml:space="preserve">standard bond amount.  No </w:t>
            </w:r>
            <w:r w:rsidR="00CD49A6">
              <w:rPr>
                <w:rFonts w:ascii="Times New Roman" w:hAnsi="Times New Roman" w:cs="Times New Roman"/>
                <w:sz w:val="24"/>
                <w:szCs w:val="24"/>
              </w:rPr>
              <w:t>r</w:t>
            </w:r>
            <w:r>
              <w:rPr>
                <w:rFonts w:ascii="Times New Roman" w:hAnsi="Times New Roman" w:cs="Times New Roman"/>
                <w:sz w:val="24"/>
                <w:szCs w:val="24"/>
              </w:rPr>
              <w:t xml:space="preserve">eclamation cost estimate required.  </w:t>
            </w:r>
            <w:r w:rsidR="00017B34">
              <w:rPr>
                <w:rFonts w:ascii="Times New Roman" w:hAnsi="Times New Roman" w:cs="Times New Roman"/>
                <w:sz w:val="24"/>
                <w:szCs w:val="24"/>
              </w:rPr>
              <w:t>L</w:t>
            </w:r>
            <w:r>
              <w:rPr>
                <w:rFonts w:ascii="Times New Roman" w:hAnsi="Times New Roman" w:cs="Times New Roman"/>
                <w:sz w:val="24"/>
                <w:szCs w:val="24"/>
              </w:rPr>
              <w:t xml:space="preserve">esser bond amount </w:t>
            </w:r>
            <w:r w:rsidR="00017B34">
              <w:rPr>
                <w:rFonts w:ascii="Times New Roman" w:hAnsi="Times New Roman" w:cs="Times New Roman"/>
                <w:sz w:val="24"/>
                <w:szCs w:val="24"/>
              </w:rPr>
              <w:t xml:space="preserve">possible </w:t>
            </w:r>
            <w:r>
              <w:rPr>
                <w:rFonts w:ascii="Times New Roman" w:hAnsi="Times New Roman" w:cs="Times New Roman"/>
                <w:sz w:val="24"/>
                <w:szCs w:val="24"/>
              </w:rPr>
              <w:t>with BLM approval.</w:t>
            </w:r>
          </w:p>
        </w:tc>
      </w:tr>
      <w:tr w:rsidR="00B16DA4" w14:paraId="674E46FD" w14:textId="77777777" w:rsidTr="00BC6A69">
        <w:tc>
          <w:tcPr>
            <w:tcW w:w="1550" w:type="dxa"/>
          </w:tcPr>
          <w:p w14:paraId="2642E89F" w14:textId="41063D23" w:rsidR="00B16DA4" w:rsidRDefault="00B16DA4" w:rsidP="00AE4CE0">
            <w:pPr>
              <w:keepNext/>
              <w:rPr>
                <w:rFonts w:ascii="Times New Roman" w:hAnsi="Times New Roman" w:cs="Times New Roman"/>
                <w:sz w:val="24"/>
                <w:szCs w:val="24"/>
              </w:rPr>
            </w:pPr>
            <w:r>
              <w:rPr>
                <w:rFonts w:ascii="Times New Roman" w:hAnsi="Times New Roman" w:cs="Times New Roman"/>
                <w:sz w:val="24"/>
                <w:szCs w:val="24"/>
              </w:rPr>
              <w:t>Application Process Requirements</w:t>
            </w:r>
          </w:p>
        </w:tc>
        <w:tc>
          <w:tcPr>
            <w:tcW w:w="3778" w:type="dxa"/>
          </w:tcPr>
          <w:p w14:paraId="4F245207" w14:textId="69469CD8" w:rsidR="00B16DA4" w:rsidRDefault="00000C45" w:rsidP="00AE4CE0">
            <w:pPr>
              <w:keepNext/>
              <w:rPr>
                <w:rFonts w:ascii="Times New Roman" w:hAnsi="Times New Roman" w:cs="Times New Roman"/>
                <w:sz w:val="24"/>
                <w:szCs w:val="24"/>
              </w:rPr>
            </w:pPr>
            <w:r w:rsidRPr="002839F7">
              <w:rPr>
                <w:rFonts w:ascii="Times New Roman" w:hAnsi="Times New Roman" w:cs="Times New Roman"/>
                <w:i/>
                <w:sz w:val="24"/>
                <w:szCs w:val="24"/>
              </w:rPr>
              <w:t>For Grants</w:t>
            </w:r>
            <w:r>
              <w:rPr>
                <w:rFonts w:ascii="Times New Roman" w:hAnsi="Times New Roman" w:cs="Times New Roman"/>
                <w:sz w:val="24"/>
                <w:szCs w:val="24"/>
              </w:rPr>
              <w:t>-</w:t>
            </w:r>
            <w:r w:rsidR="00B16DA4">
              <w:rPr>
                <w:rFonts w:ascii="Times New Roman" w:hAnsi="Times New Roman" w:cs="Times New Roman"/>
                <w:sz w:val="24"/>
                <w:szCs w:val="24"/>
              </w:rPr>
              <w:t>Two pre-application meetings required before submittal.  Public meeting required</w:t>
            </w:r>
            <w:r>
              <w:rPr>
                <w:rFonts w:ascii="Times New Roman" w:hAnsi="Times New Roman" w:cs="Times New Roman"/>
                <w:sz w:val="24"/>
                <w:szCs w:val="24"/>
              </w:rPr>
              <w:t xml:space="preserve">.  </w:t>
            </w:r>
            <w:r w:rsidR="00F00AD5">
              <w:rPr>
                <w:rFonts w:ascii="Times New Roman" w:hAnsi="Times New Roman" w:cs="Times New Roman"/>
                <w:sz w:val="24"/>
                <w:szCs w:val="24"/>
              </w:rPr>
              <w:t xml:space="preserve">BLM </w:t>
            </w:r>
            <w:r w:rsidR="004638BC">
              <w:rPr>
                <w:rFonts w:ascii="Times New Roman" w:hAnsi="Times New Roman" w:cs="Times New Roman"/>
                <w:sz w:val="24"/>
                <w:szCs w:val="24"/>
              </w:rPr>
              <w:t xml:space="preserve">offices are directed to </w:t>
            </w:r>
            <w:r w:rsidR="00F00AD5">
              <w:rPr>
                <w:rFonts w:ascii="Times New Roman" w:hAnsi="Times New Roman" w:cs="Times New Roman"/>
                <w:sz w:val="24"/>
                <w:szCs w:val="24"/>
              </w:rPr>
              <w:t>prioritize application</w:t>
            </w:r>
            <w:r w:rsidR="004638BC">
              <w:rPr>
                <w:rFonts w:ascii="Times New Roman" w:hAnsi="Times New Roman" w:cs="Times New Roman"/>
                <w:sz w:val="24"/>
                <w:szCs w:val="24"/>
              </w:rPr>
              <w:t>s</w:t>
            </w:r>
            <w:r w:rsidR="00F00AD5">
              <w:rPr>
                <w:rFonts w:ascii="Times New Roman" w:hAnsi="Times New Roman" w:cs="Times New Roman"/>
                <w:sz w:val="24"/>
                <w:szCs w:val="24"/>
              </w:rPr>
              <w:t xml:space="preserve"> </w:t>
            </w:r>
            <w:r w:rsidR="004638BC">
              <w:rPr>
                <w:rFonts w:ascii="Times New Roman" w:hAnsi="Times New Roman" w:cs="Times New Roman"/>
                <w:sz w:val="24"/>
                <w:szCs w:val="24"/>
              </w:rPr>
              <w:t xml:space="preserve">based on </w:t>
            </w:r>
            <w:r w:rsidR="00F00AD5">
              <w:rPr>
                <w:rFonts w:ascii="Times New Roman" w:hAnsi="Times New Roman" w:cs="Times New Roman"/>
                <w:sz w:val="24"/>
                <w:szCs w:val="24"/>
              </w:rPr>
              <w:t xml:space="preserve">screening </w:t>
            </w:r>
            <w:r w:rsidR="00AE4CE0">
              <w:rPr>
                <w:rFonts w:ascii="Times New Roman" w:hAnsi="Times New Roman" w:cs="Times New Roman"/>
                <w:sz w:val="24"/>
                <w:szCs w:val="24"/>
              </w:rPr>
              <w:t>criteria establish by policy</w:t>
            </w:r>
            <w:r w:rsidR="00F00AD5">
              <w:rPr>
                <w:rFonts w:ascii="Times New Roman" w:hAnsi="Times New Roman" w:cs="Times New Roman"/>
                <w:sz w:val="24"/>
                <w:szCs w:val="24"/>
              </w:rPr>
              <w:t>.</w:t>
            </w:r>
            <w:r w:rsidR="00B16DA4">
              <w:rPr>
                <w:rFonts w:ascii="Times New Roman" w:hAnsi="Times New Roman" w:cs="Times New Roman"/>
                <w:sz w:val="24"/>
                <w:szCs w:val="24"/>
              </w:rPr>
              <w:t xml:space="preserve">   </w:t>
            </w:r>
          </w:p>
          <w:p w14:paraId="63BC887A" w14:textId="77777777" w:rsidR="00000C45" w:rsidRDefault="00000C45" w:rsidP="00AE4CE0">
            <w:pPr>
              <w:keepNext/>
              <w:rPr>
                <w:rFonts w:ascii="Times New Roman" w:hAnsi="Times New Roman" w:cs="Times New Roman"/>
                <w:sz w:val="24"/>
                <w:szCs w:val="24"/>
              </w:rPr>
            </w:pPr>
          </w:p>
          <w:p w14:paraId="12578336" w14:textId="77777777" w:rsidR="004638BC" w:rsidRDefault="004638BC" w:rsidP="00AE4CE0">
            <w:pPr>
              <w:keepNext/>
              <w:rPr>
                <w:rFonts w:ascii="Times New Roman" w:hAnsi="Times New Roman" w:cs="Times New Roman"/>
                <w:i/>
                <w:sz w:val="24"/>
                <w:szCs w:val="24"/>
              </w:rPr>
            </w:pPr>
          </w:p>
          <w:p w14:paraId="6FE2DA19" w14:textId="13800304" w:rsidR="00000C45" w:rsidRPr="00000C45" w:rsidRDefault="00000C45" w:rsidP="00AE4CE0">
            <w:pPr>
              <w:keepNext/>
              <w:rPr>
                <w:rFonts w:ascii="Times New Roman" w:hAnsi="Times New Roman" w:cs="Times New Roman"/>
                <w:sz w:val="24"/>
                <w:szCs w:val="24"/>
              </w:rPr>
            </w:pPr>
            <w:r>
              <w:rPr>
                <w:rFonts w:ascii="Times New Roman" w:hAnsi="Times New Roman" w:cs="Times New Roman"/>
                <w:i/>
                <w:sz w:val="24"/>
                <w:szCs w:val="24"/>
              </w:rPr>
              <w:t>For Leases-</w:t>
            </w:r>
            <w:r w:rsidR="00CD49A6">
              <w:rPr>
                <w:rFonts w:ascii="Times New Roman" w:hAnsi="Times New Roman" w:cs="Times New Roman"/>
                <w:sz w:val="24"/>
                <w:szCs w:val="24"/>
              </w:rPr>
              <w:t>Not applicable</w:t>
            </w:r>
            <w:r w:rsidRPr="002839F7">
              <w:rPr>
                <w:rFonts w:ascii="Times New Roman" w:hAnsi="Times New Roman" w:cs="Times New Roman"/>
                <w:sz w:val="24"/>
                <w:szCs w:val="24"/>
              </w:rPr>
              <w:t>.</w:t>
            </w:r>
          </w:p>
        </w:tc>
        <w:tc>
          <w:tcPr>
            <w:tcW w:w="4140" w:type="dxa"/>
          </w:tcPr>
          <w:p w14:paraId="1EBD11C6" w14:textId="63F01D21" w:rsidR="00B16DA4" w:rsidRDefault="00000C45" w:rsidP="00AE4CE0">
            <w:pPr>
              <w:keepNext/>
              <w:rPr>
                <w:rFonts w:ascii="Times New Roman" w:hAnsi="Times New Roman" w:cs="Times New Roman"/>
                <w:sz w:val="24"/>
                <w:szCs w:val="24"/>
              </w:rPr>
            </w:pPr>
            <w:r>
              <w:rPr>
                <w:rFonts w:ascii="Times New Roman" w:hAnsi="Times New Roman" w:cs="Times New Roman"/>
                <w:i/>
                <w:sz w:val="24"/>
                <w:szCs w:val="24"/>
              </w:rPr>
              <w:t>F</w:t>
            </w:r>
            <w:r w:rsidR="00B16DA4" w:rsidRPr="002839F7">
              <w:rPr>
                <w:rFonts w:ascii="Times New Roman" w:hAnsi="Times New Roman" w:cs="Times New Roman"/>
                <w:i/>
                <w:sz w:val="24"/>
                <w:szCs w:val="24"/>
              </w:rPr>
              <w:t>or Grants-</w:t>
            </w:r>
            <w:r w:rsidR="00B16DA4">
              <w:rPr>
                <w:rFonts w:ascii="Times New Roman" w:hAnsi="Times New Roman" w:cs="Times New Roman"/>
                <w:sz w:val="24"/>
                <w:szCs w:val="24"/>
              </w:rPr>
              <w:t xml:space="preserve">Two preliminary application review meetings required within 6 months </w:t>
            </w:r>
            <w:r w:rsidR="00AE4CE0">
              <w:rPr>
                <w:rFonts w:ascii="Times New Roman" w:hAnsi="Times New Roman" w:cs="Times New Roman"/>
                <w:sz w:val="24"/>
                <w:szCs w:val="24"/>
              </w:rPr>
              <w:t>submission</w:t>
            </w:r>
            <w:r w:rsidR="00CD49A6">
              <w:rPr>
                <w:rFonts w:ascii="Times New Roman" w:hAnsi="Times New Roman" w:cs="Times New Roman"/>
                <w:sz w:val="24"/>
                <w:szCs w:val="24"/>
              </w:rPr>
              <w:t>, plus</w:t>
            </w:r>
            <w:r w:rsidR="00B16DA4">
              <w:rPr>
                <w:rFonts w:ascii="Times New Roman" w:hAnsi="Times New Roman" w:cs="Times New Roman"/>
                <w:sz w:val="24"/>
                <w:szCs w:val="24"/>
              </w:rPr>
              <w:t xml:space="preserve"> one public meeting. BLM may waive preliminary meetings. </w:t>
            </w:r>
            <w:r w:rsidR="00F00AD5">
              <w:rPr>
                <w:rFonts w:ascii="Times New Roman" w:hAnsi="Times New Roman" w:cs="Times New Roman"/>
                <w:sz w:val="24"/>
                <w:szCs w:val="24"/>
              </w:rPr>
              <w:t xml:space="preserve">BLM </w:t>
            </w:r>
            <w:r w:rsidR="004638BC">
              <w:rPr>
                <w:rFonts w:ascii="Times New Roman" w:hAnsi="Times New Roman" w:cs="Times New Roman"/>
                <w:sz w:val="24"/>
                <w:szCs w:val="24"/>
              </w:rPr>
              <w:t xml:space="preserve">offices will </w:t>
            </w:r>
            <w:r w:rsidR="00F00AD5">
              <w:rPr>
                <w:rFonts w:ascii="Times New Roman" w:hAnsi="Times New Roman" w:cs="Times New Roman"/>
                <w:sz w:val="24"/>
                <w:szCs w:val="24"/>
              </w:rPr>
              <w:t>prioritize application</w:t>
            </w:r>
            <w:r w:rsidR="00AE4CE0">
              <w:rPr>
                <w:rFonts w:ascii="Times New Roman" w:hAnsi="Times New Roman" w:cs="Times New Roman"/>
                <w:sz w:val="24"/>
                <w:szCs w:val="24"/>
              </w:rPr>
              <w:t>s</w:t>
            </w:r>
            <w:r w:rsidR="00F00AD5">
              <w:rPr>
                <w:rFonts w:ascii="Times New Roman" w:hAnsi="Times New Roman" w:cs="Times New Roman"/>
                <w:sz w:val="24"/>
                <w:szCs w:val="24"/>
              </w:rPr>
              <w:t xml:space="preserve"> </w:t>
            </w:r>
            <w:r w:rsidR="004638BC">
              <w:rPr>
                <w:rFonts w:ascii="Times New Roman" w:hAnsi="Times New Roman" w:cs="Times New Roman"/>
                <w:sz w:val="24"/>
                <w:szCs w:val="24"/>
              </w:rPr>
              <w:t xml:space="preserve">based on </w:t>
            </w:r>
            <w:r w:rsidR="00F00AD5">
              <w:rPr>
                <w:rFonts w:ascii="Times New Roman" w:hAnsi="Times New Roman" w:cs="Times New Roman"/>
                <w:sz w:val="24"/>
                <w:szCs w:val="24"/>
              </w:rPr>
              <w:t>screening</w:t>
            </w:r>
            <w:r w:rsidR="004638BC">
              <w:rPr>
                <w:rFonts w:ascii="Times New Roman" w:hAnsi="Times New Roman" w:cs="Times New Roman"/>
                <w:sz w:val="24"/>
                <w:szCs w:val="24"/>
              </w:rPr>
              <w:t xml:space="preserve"> criteria identified in the rule</w:t>
            </w:r>
            <w:r w:rsidR="00F00AD5">
              <w:rPr>
                <w:rFonts w:ascii="Times New Roman" w:hAnsi="Times New Roman" w:cs="Times New Roman"/>
                <w:sz w:val="24"/>
                <w:szCs w:val="24"/>
              </w:rPr>
              <w:t>.</w:t>
            </w:r>
          </w:p>
          <w:p w14:paraId="06FB3573" w14:textId="77777777" w:rsidR="00000C45" w:rsidRDefault="00000C45" w:rsidP="00AE4CE0">
            <w:pPr>
              <w:keepNext/>
              <w:rPr>
                <w:rFonts w:ascii="Times New Roman" w:hAnsi="Times New Roman" w:cs="Times New Roman"/>
                <w:sz w:val="24"/>
                <w:szCs w:val="24"/>
              </w:rPr>
            </w:pPr>
          </w:p>
          <w:p w14:paraId="6CD5F614" w14:textId="06769750" w:rsidR="00000C45" w:rsidRPr="002839F7" w:rsidRDefault="00CD49A6" w:rsidP="00513C95">
            <w:pPr>
              <w:keepNext/>
              <w:rPr>
                <w:rFonts w:ascii="Times New Roman" w:hAnsi="Times New Roman" w:cs="Times New Roman"/>
                <w:i/>
                <w:sz w:val="24"/>
                <w:szCs w:val="24"/>
              </w:rPr>
            </w:pPr>
            <w:r>
              <w:rPr>
                <w:rFonts w:ascii="Times New Roman" w:hAnsi="Times New Roman" w:cs="Times New Roman"/>
                <w:i/>
                <w:sz w:val="24"/>
                <w:szCs w:val="24"/>
              </w:rPr>
              <w:t>For Leases-</w:t>
            </w:r>
            <w:r w:rsidR="00000C45" w:rsidRPr="004638BC">
              <w:rPr>
                <w:rFonts w:ascii="Times New Roman" w:hAnsi="Times New Roman" w:cs="Times New Roman"/>
                <w:sz w:val="24"/>
                <w:szCs w:val="24"/>
              </w:rPr>
              <w:t xml:space="preserve">No </w:t>
            </w:r>
            <w:r>
              <w:rPr>
                <w:rFonts w:ascii="Times New Roman" w:hAnsi="Times New Roman" w:cs="Times New Roman"/>
                <w:sz w:val="24"/>
                <w:szCs w:val="24"/>
              </w:rPr>
              <w:t>r</w:t>
            </w:r>
            <w:r w:rsidR="00000C45" w:rsidRPr="004638BC">
              <w:rPr>
                <w:rFonts w:ascii="Times New Roman" w:hAnsi="Times New Roman" w:cs="Times New Roman"/>
                <w:sz w:val="24"/>
                <w:szCs w:val="24"/>
              </w:rPr>
              <w:t>equirements</w:t>
            </w:r>
            <w:r w:rsidR="00513C95">
              <w:rPr>
                <w:rFonts w:ascii="Times New Roman" w:hAnsi="Times New Roman" w:cs="Times New Roman"/>
                <w:sz w:val="24"/>
                <w:szCs w:val="24"/>
              </w:rPr>
              <w:t xml:space="preserve"> of the competitive process</w:t>
            </w:r>
            <w:r w:rsidR="00000C45" w:rsidRPr="002839F7">
              <w:rPr>
                <w:rFonts w:ascii="Times New Roman" w:hAnsi="Times New Roman" w:cs="Times New Roman"/>
                <w:i/>
                <w:sz w:val="24"/>
                <w:szCs w:val="24"/>
              </w:rPr>
              <w:t>.</w:t>
            </w:r>
          </w:p>
        </w:tc>
      </w:tr>
      <w:tr w:rsidR="00B16DA4" w14:paraId="4A1B2E78" w14:textId="77777777" w:rsidTr="00BC6A69">
        <w:tc>
          <w:tcPr>
            <w:tcW w:w="1550" w:type="dxa"/>
          </w:tcPr>
          <w:p w14:paraId="3BE70C89" w14:textId="29E3FFB4" w:rsidR="00B16DA4" w:rsidRDefault="00B16DA4" w:rsidP="00B16DA4">
            <w:pPr>
              <w:rPr>
                <w:rFonts w:ascii="Times New Roman" w:hAnsi="Times New Roman" w:cs="Times New Roman"/>
                <w:sz w:val="24"/>
                <w:szCs w:val="24"/>
              </w:rPr>
            </w:pPr>
            <w:r>
              <w:rPr>
                <w:rFonts w:ascii="Times New Roman" w:hAnsi="Times New Roman" w:cs="Times New Roman"/>
                <w:sz w:val="24"/>
                <w:szCs w:val="24"/>
              </w:rPr>
              <w:t>Appro</w:t>
            </w:r>
            <w:r w:rsidR="00000C45">
              <w:rPr>
                <w:rFonts w:ascii="Times New Roman" w:hAnsi="Times New Roman" w:cs="Times New Roman"/>
                <w:sz w:val="24"/>
                <w:szCs w:val="24"/>
              </w:rPr>
              <w:t>val of Application</w:t>
            </w:r>
          </w:p>
        </w:tc>
        <w:tc>
          <w:tcPr>
            <w:tcW w:w="3778" w:type="dxa"/>
          </w:tcPr>
          <w:p w14:paraId="7135A40D" w14:textId="0D9A6670" w:rsidR="00B16DA4" w:rsidRDefault="00F00AD5">
            <w:pPr>
              <w:rPr>
                <w:rFonts w:ascii="Times New Roman" w:hAnsi="Times New Roman" w:cs="Times New Roman"/>
                <w:sz w:val="24"/>
                <w:szCs w:val="24"/>
              </w:rPr>
            </w:pPr>
            <w:r w:rsidRPr="002839F7">
              <w:rPr>
                <w:rFonts w:ascii="Times New Roman" w:hAnsi="Times New Roman" w:cs="Times New Roman"/>
                <w:i/>
                <w:sz w:val="24"/>
                <w:szCs w:val="24"/>
              </w:rPr>
              <w:t>For Grants</w:t>
            </w:r>
            <w:r>
              <w:rPr>
                <w:rFonts w:ascii="Times New Roman" w:hAnsi="Times New Roman" w:cs="Times New Roman"/>
                <w:sz w:val="24"/>
                <w:szCs w:val="24"/>
              </w:rPr>
              <w:t>-</w:t>
            </w:r>
            <w:r w:rsidR="00CD49A6">
              <w:rPr>
                <w:rFonts w:ascii="Times New Roman" w:hAnsi="Times New Roman" w:cs="Times New Roman"/>
                <w:sz w:val="24"/>
                <w:szCs w:val="24"/>
              </w:rPr>
              <w:t>S</w:t>
            </w:r>
            <w:r w:rsidR="00000C45">
              <w:rPr>
                <w:rFonts w:ascii="Times New Roman" w:hAnsi="Times New Roman" w:cs="Times New Roman"/>
                <w:sz w:val="24"/>
                <w:szCs w:val="24"/>
              </w:rPr>
              <w:t>ite</w:t>
            </w:r>
            <w:r w:rsidR="00CD49A6">
              <w:rPr>
                <w:rFonts w:ascii="Times New Roman" w:hAnsi="Times New Roman" w:cs="Times New Roman"/>
                <w:sz w:val="24"/>
                <w:szCs w:val="24"/>
              </w:rPr>
              <w:t>-</w:t>
            </w:r>
            <w:r w:rsidR="00000C45">
              <w:rPr>
                <w:rFonts w:ascii="Times New Roman" w:hAnsi="Times New Roman" w:cs="Times New Roman"/>
                <w:sz w:val="24"/>
                <w:szCs w:val="24"/>
              </w:rPr>
              <w:t>specific surveys, studies</w:t>
            </w:r>
            <w:r w:rsidR="00CD49A6">
              <w:rPr>
                <w:rFonts w:ascii="Times New Roman" w:hAnsi="Times New Roman" w:cs="Times New Roman"/>
                <w:sz w:val="24"/>
                <w:szCs w:val="24"/>
              </w:rPr>
              <w:t>,</w:t>
            </w:r>
            <w:r w:rsidR="00000C45">
              <w:rPr>
                <w:rFonts w:ascii="Times New Roman" w:hAnsi="Times New Roman" w:cs="Times New Roman"/>
                <w:sz w:val="24"/>
                <w:szCs w:val="24"/>
              </w:rPr>
              <w:t xml:space="preserve"> and inventories completed for NEPA review.  Complete NEPA review and issue decision.</w:t>
            </w:r>
          </w:p>
          <w:p w14:paraId="11FE24B0" w14:textId="77777777" w:rsidR="00AE4CE0" w:rsidRDefault="00AE4CE0" w:rsidP="00CD49A6">
            <w:pPr>
              <w:rPr>
                <w:rFonts w:ascii="Times New Roman" w:hAnsi="Times New Roman" w:cs="Times New Roman"/>
                <w:sz w:val="24"/>
                <w:szCs w:val="24"/>
              </w:rPr>
            </w:pPr>
          </w:p>
          <w:p w14:paraId="29D8BD89" w14:textId="01967A05" w:rsidR="00CD49A6" w:rsidRDefault="00CD49A6">
            <w:pPr>
              <w:rPr>
                <w:rFonts w:ascii="Times New Roman" w:hAnsi="Times New Roman" w:cs="Times New Roman"/>
                <w:sz w:val="24"/>
                <w:szCs w:val="24"/>
              </w:rPr>
            </w:pPr>
            <w:r>
              <w:rPr>
                <w:rFonts w:ascii="Times New Roman" w:hAnsi="Times New Roman" w:cs="Times New Roman"/>
                <w:i/>
                <w:sz w:val="24"/>
                <w:szCs w:val="24"/>
              </w:rPr>
              <w:t>For Leases-</w:t>
            </w:r>
            <w:r>
              <w:rPr>
                <w:rFonts w:ascii="Times New Roman" w:hAnsi="Times New Roman" w:cs="Times New Roman"/>
                <w:sz w:val="24"/>
                <w:szCs w:val="24"/>
              </w:rPr>
              <w:t>Not applicable</w:t>
            </w:r>
            <w:r w:rsidRPr="002839F7">
              <w:rPr>
                <w:rFonts w:ascii="Times New Roman" w:hAnsi="Times New Roman" w:cs="Times New Roman"/>
                <w:sz w:val="24"/>
                <w:szCs w:val="24"/>
              </w:rPr>
              <w:t>.</w:t>
            </w:r>
          </w:p>
        </w:tc>
        <w:tc>
          <w:tcPr>
            <w:tcW w:w="4140" w:type="dxa"/>
          </w:tcPr>
          <w:p w14:paraId="38098B5D" w14:textId="77589C4B" w:rsidR="00F00AD5" w:rsidRDefault="00F00AD5" w:rsidP="00F00AD5">
            <w:pPr>
              <w:rPr>
                <w:rFonts w:ascii="Times New Roman" w:hAnsi="Times New Roman" w:cs="Times New Roman"/>
                <w:sz w:val="24"/>
                <w:szCs w:val="24"/>
              </w:rPr>
            </w:pPr>
            <w:r>
              <w:rPr>
                <w:rFonts w:ascii="Times New Roman" w:hAnsi="Times New Roman" w:cs="Times New Roman"/>
                <w:i/>
                <w:sz w:val="24"/>
                <w:szCs w:val="24"/>
              </w:rPr>
              <w:t>For Grants-</w:t>
            </w:r>
            <w:r w:rsidR="00CD49A6">
              <w:rPr>
                <w:rFonts w:ascii="Times New Roman" w:hAnsi="Times New Roman" w:cs="Times New Roman"/>
                <w:sz w:val="24"/>
                <w:szCs w:val="24"/>
              </w:rPr>
              <w:t>S</w:t>
            </w:r>
            <w:r>
              <w:rPr>
                <w:rFonts w:ascii="Times New Roman" w:hAnsi="Times New Roman" w:cs="Times New Roman"/>
                <w:sz w:val="24"/>
                <w:szCs w:val="24"/>
              </w:rPr>
              <w:t>ite specific surveys, studies</w:t>
            </w:r>
            <w:r w:rsidR="00CD49A6">
              <w:rPr>
                <w:rFonts w:ascii="Times New Roman" w:hAnsi="Times New Roman" w:cs="Times New Roman"/>
                <w:sz w:val="24"/>
                <w:szCs w:val="24"/>
              </w:rPr>
              <w:t>,</w:t>
            </w:r>
            <w:r>
              <w:rPr>
                <w:rFonts w:ascii="Times New Roman" w:hAnsi="Times New Roman" w:cs="Times New Roman"/>
                <w:sz w:val="24"/>
                <w:szCs w:val="24"/>
              </w:rPr>
              <w:t xml:space="preserve"> and inventories completed for NEPA review.  Complete NEPA review and issue decision.</w:t>
            </w:r>
          </w:p>
          <w:p w14:paraId="4DA6C43C" w14:textId="77777777" w:rsidR="00CD49A6" w:rsidRDefault="00CD49A6" w:rsidP="00CD49A6">
            <w:pPr>
              <w:rPr>
                <w:rFonts w:ascii="Times New Roman" w:hAnsi="Times New Roman" w:cs="Times New Roman"/>
                <w:sz w:val="24"/>
                <w:szCs w:val="24"/>
              </w:rPr>
            </w:pPr>
          </w:p>
          <w:p w14:paraId="7AEBFB78" w14:textId="00937DEC" w:rsidR="00B16DA4" w:rsidRDefault="00CD49A6" w:rsidP="00B16DA4">
            <w:pPr>
              <w:rPr>
                <w:rFonts w:ascii="Times New Roman" w:hAnsi="Times New Roman" w:cs="Times New Roman"/>
                <w:sz w:val="24"/>
                <w:szCs w:val="24"/>
              </w:rPr>
            </w:pPr>
            <w:r>
              <w:rPr>
                <w:rFonts w:ascii="Times New Roman" w:hAnsi="Times New Roman" w:cs="Times New Roman"/>
                <w:i/>
                <w:sz w:val="24"/>
                <w:szCs w:val="24"/>
              </w:rPr>
              <w:t>For Leases-</w:t>
            </w:r>
            <w:r w:rsidRPr="006179AF">
              <w:rPr>
                <w:rFonts w:ascii="Times New Roman" w:hAnsi="Times New Roman" w:cs="Times New Roman"/>
                <w:sz w:val="24"/>
                <w:szCs w:val="24"/>
              </w:rPr>
              <w:t xml:space="preserve">No </w:t>
            </w:r>
            <w:r w:rsidR="00513C95">
              <w:rPr>
                <w:rFonts w:ascii="Times New Roman" w:hAnsi="Times New Roman" w:cs="Times New Roman"/>
                <w:sz w:val="24"/>
                <w:szCs w:val="24"/>
              </w:rPr>
              <w:t xml:space="preserve">specific </w:t>
            </w:r>
            <w:r>
              <w:rPr>
                <w:rFonts w:ascii="Times New Roman" w:hAnsi="Times New Roman" w:cs="Times New Roman"/>
                <w:sz w:val="24"/>
                <w:szCs w:val="24"/>
              </w:rPr>
              <w:t>approval r</w:t>
            </w:r>
            <w:r w:rsidRPr="006179AF">
              <w:rPr>
                <w:rFonts w:ascii="Times New Roman" w:hAnsi="Times New Roman" w:cs="Times New Roman"/>
                <w:sz w:val="24"/>
                <w:szCs w:val="24"/>
              </w:rPr>
              <w:t>equirements</w:t>
            </w:r>
            <w:r w:rsidR="00513C95">
              <w:rPr>
                <w:rFonts w:ascii="Times New Roman" w:hAnsi="Times New Roman" w:cs="Times New Roman"/>
                <w:sz w:val="24"/>
                <w:szCs w:val="24"/>
              </w:rPr>
              <w:t>, would depend on need for project-specific reviews</w:t>
            </w:r>
            <w:r w:rsidR="00F00AD5" w:rsidRPr="002839F7">
              <w:rPr>
                <w:rFonts w:ascii="Times New Roman" w:hAnsi="Times New Roman" w:cs="Times New Roman"/>
                <w:i/>
                <w:sz w:val="24"/>
                <w:szCs w:val="24"/>
              </w:rPr>
              <w:t>.</w:t>
            </w:r>
          </w:p>
        </w:tc>
      </w:tr>
    </w:tbl>
    <w:p w14:paraId="6A927D5E" w14:textId="77777777" w:rsidR="001A5401" w:rsidRDefault="001A5401" w:rsidP="00DD18FF">
      <w:pPr>
        <w:spacing w:after="0" w:line="240" w:lineRule="auto"/>
        <w:rPr>
          <w:rFonts w:ascii="Times New Roman" w:hAnsi="Times New Roman" w:cs="Times New Roman"/>
          <w:sz w:val="24"/>
          <w:szCs w:val="24"/>
        </w:rPr>
      </w:pPr>
    </w:p>
    <w:p w14:paraId="1D73B013" w14:textId="77777777" w:rsidR="008C1AE1" w:rsidRDefault="008C1AE1" w:rsidP="00DD18FF">
      <w:pPr>
        <w:spacing w:after="0" w:line="240" w:lineRule="auto"/>
        <w:rPr>
          <w:rFonts w:ascii="Times New Roman" w:hAnsi="Times New Roman" w:cs="Times New Roman"/>
          <w:b/>
          <w:sz w:val="24"/>
          <w:szCs w:val="24"/>
          <w:u w:val="single"/>
        </w:rPr>
      </w:pPr>
    </w:p>
    <w:p w14:paraId="10E079A9" w14:textId="0E978E9D" w:rsidR="001A5401" w:rsidRDefault="00B3296A" w:rsidP="00DD18FF">
      <w:pPr>
        <w:spacing w:after="0" w:line="240" w:lineRule="auto"/>
        <w:rPr>
          <w:rFonts w:ascii="Times New Roman" w:hAnsi="Times New Roman" w:cs="Times New Roman"/>
          <w:b/>
          <w:sz w:val="24"/>
          <w:szCs w:val="24"/>
          <w:u w:val="single"/>
        </w:rPr>
      </w:pPr>
      <w:r w:rsidRPr="00CF70E9">
        <w:rPr>
          <w:rFonts w:ascii="Times New Roman" w:hAnsi="Times New Roman" w:cs="Times New Roman"/>
          <w:b/>
          <w:sz w:val="24"/>
          <w:szCs w:val="24"/>
          <w:u w:val="single"/>
        </w:rPr>
        <w:t xml:space="preserve">Principal Changes </w:t>
      </w:r>
      <w:r w:rsidR="008C1AE1">
        <w:rPr>
          <w:rFonts w:ascii="Times New Roman" w:hAnsi="Times New Roman" w:cs="Times New Roman"/>
          <w:b/>
          <w:sz w:val="24"/>
          <w:szCs w:val="24"/>
          <w:u w:val="single"/>
        </w:rPr>
        <w:t>f</w:t>
      </w:r>
      <w:r>
        <w:rPr>
          <w:rFonts w:ascii="Times New Roman" w:hAnsi="Times New Roman" w:cs="Times New Roman"/>
          <w:b/>
          <w:sz w:val="24"/>
          <w:szCs w:val="24"/>
          <w:u w:val="single"/>
        </w:rPr>
        <w:t>rom the Proposed Rule</w:t>
      </w:r>
    </w:p>
    <w:p w14:paraId="35387A09" w14:textId="77777777" w:rsidR="00B3296A" w:rsidRDefault="00B3296A" w:rsidP="00DD18FF">
      <w:pPr>
        <w:spacing w:after="0" w:line="240" w:lineRule="auto"/>
        <w:rPr>
          <w:rFonts w:ascii="Times New Roman" w:hAnsi="Times New Roman" w:cs="Times New Roman"/>
          <w:b/>
          <w:sz w:val="24"/>
          <w:szCs w:val="24"/>
          <w:u w:val="single"/>
        </w:rPr>
      </w:pPr>
    </w:p>
    <w:p w14:paraId="0D12AAE4" w14:textId="2412F3BF" w:rsidR="00B3296A" w:rsidRPr="00BA5239" w:rsidRDefault="00B3296A" w:rsidP="00DD18FF">
      <w:pPr>
        <w:spacing w:after="0" w:line="240" w:lineRule="auto"/>
        <w:rPr>
          <w:rFonts w:ascii="Times New Roman" w:hAnsi="Times New Roman" w:cs="Times New Roman"/>
          <w:sz w:val="24"/>
          <w:szCs w:val="24"/>
        </w:rPr>
      </w:pPr>
      <w:r w:rsidRPr="00BA5239">
        <w:rPr>
          <w:rFonts w:ascii="Times New Roman" w:hAnsi="Times New Roman" w:cs="Times New Roman"/>
          <w:sz w:val="24"/>
          <w:szCs w:val="24"/>
        </w:rPr>
        <w:t xml:space="preserve">Based on comments received on the proposed rule, discussions with stakeholders, and additional internal reviews, the BLM made a number of changes </w:t>
      </w:r>
      <w:r w:rsidR="008C1AE1">
        <w:rPr>
          <w:rFonts w:ascii="Times New Roman" w:hAnsi="Times New Roman" w:cs="Times New Roman"/>
          <w:sz w:val="24"/>
          <w:szCs w:val="24"/>
        </w:rPr>
        <w:t>between the proposed and final rules</w:t>
      </w:r>
      <w:r w:rsidRPr="00BA5239">
        <w:rPr>
          <w:rFonts w:ascii="Times New Roman" w:hAnsi="Times New Roman" w:cs="Times New Roman"/>
          <w:sz w:val="24"/>
          <w:szCs w:val="24"/>
        </w:rPr>
        <w:t xml:space="preserve">. The most notable changes include: </w:t>
      </w:r>
    </w:p>
    <w:p w14:paraId="47A2F388" w14:textId="77777777" w:rsidR="00017B34" w:rsidRPr="00BA5239" w:rsidRDefault="00017B34" w:rsidP="00DD18FF">
      <w:pPr>
        <w:spacing w:after="0" w:line="240" w:lineRule="auto"/>
        <w:rPr>
          <w:rFonts w:ascii="Times New Roman" w:hAnsi="Times New Roman" w:cs="Times New Roman"/>
          <w:sz w:val="24"/>
          <w:szCs w:val="24"/>
        </w:rPr>
      </w:pPr>
    </w:p>
    <w:p w14:paraId="439324CC" w14:textId="06ED5129" w:rsidR="00CD49A6" w:rsidRDefault="00C11707" w:rsidP="004638BC">
      <w:pPr>
        <w:pStyle w:val="ListParagraph"/>
        <w:numPr>
          <w:ilvl w:val="0"/>
          <w:numId w:val="17"/>
        </w:numPr>
        <w:spacing w:after="0"/>
        <w:ind w:left="360"/>
      </w:pPr>
      <w:r>
        <w:t>The final rule provides</w:t>
      </w:r>
      <w:r w:rsidR="00765196" w:rsidRPr="00BA5239">
        <w:t xml:space="preserve"> </w:t>
      </w:r>
      <w:r>
        <w:t xml:space="preserve">two options </w:t>
      </w:r>
      <w:r w:rsidR="00765196" w:rsidRPr="00BA5239">
        <w:t>for future adjustments to acreage rents and MW capacity fees</w:t>
      </w:r>
      <w:r w:rsidR="00CD49A6">
        <w:t>:</w:t>
      </w:r>
    </w:p>
    <w:p w14:paraId="263DEB6A" w14:textId="64AA9E44" w:rsidR="00CD49A6" w:rsidRDefault="00BA5239" w:rsidP="004638BC">
      <w:pPr>
        <w:pStyle w:val="ListParagraph"/>
        <w:numPr>
          <w:ilvl w:val="1"/>
          <w:numId w:val="17"/>
        </w:numPr>
        <w:spacing w:after="0"/>
        <w:ind w:left="720"/>
      </w:pPr>
      <w:r w:rsidRPr="00BA5239">
        <w:t>The</w:t>
      </w:r>
      <w:r w:rsidR="00765196" w:rsidRPr="00BA5239">
        <w:t xml:space="preserve"> </w:t>
      </w:r>
      <w:r w:rsidR="00765196" w:rsidRPr="00BA5239">
        <w:rPr>
          <w:b/>
        </w:rPr>
        <w:t>Standard Rate Adjustment Method</w:t>
      </w:r>
      <w:r w:rsidR="00765196" w:rsidRPr="00BA5239">
        <w:t xml:space="preserve"> </w:t>
      </w:r>
      <w:r w:rsidR="00CD49A6">
        <w:t xml:space="preserve">periodically adjusts </w:t>
      </w:r>
      <w:r w:rsidR="00765196" w:rsidRPr="00BA5239">
        <w:t>acreage rents and MW capacity fees in response to changes in NASS survey data and power market prices</w:t>
      </w:r>
      <w:r w:rsidR="00CD49A6">
        <w:t>;</w:t>
      </w:r>
      <w:r w:rsidR="00765196" w:rsidRPr="00BA5239">
        <w:t xml:space="preserve"> as a result</w:t>
      </w:r>
      <w:r w:rsidR="00CD49A6">
        <w:t>,</w:t>
      </w:r>
      <w:r w:rsidR="00765196" w:rsidRPr="00BA5239">
        <w:t xml:space="preserve"> rates can fluctuate up or down, </w:t>
      </w:r>
    </w:p>
    <w:p w14:paraId="0E859863" w14:textId="4AEEB72E" w:rsidR="00C11707" w:rsidRDefault="00765196" w:rsidP="004638BC">
      <w:pPr>
        <w:pStyle w:val="ListParagraph"/>
        <w:numPr>
          <w:ilvl w:val="1"/>
          <w:numId w:val="17"/>
        </w:numPr>
        <w:spacing w:after="0"/>
        <w:ind w:left="720"/>
      </w:pPr>
      <w:r w:rsidRPr="00BA5239">
        <w:t>T</w:t>
      </w:r>
      <w:r w:rsidR="00017B34" w:rsidRPr="00BA5239">
        <w:t xml:space="preserve">he </w:t>
      </w:r>
      <w:r w:rsidR="00017B34" w:rsidRPr="00BA5239">
        <w:rPr>
          <w:b/>
        </w:rPr>
        <w:t xml:space="preserve">Scheduled Rate Adjustment Method </w:t>
      </w:r>
      <w:r w:rsidRPr="00BA5239">
        <w:t>allows developers to select fixed adjustments at defined periods in lieu of market-based adjustments</w:t>
      </w:r>
      <w:r w:rsidR="00CD49A6">
        <w:t>; this</w:t>
      </w:r>
      <w:r w:rsidRPr="00BA5239">
        <w:t xml:space="preserve"> option was developed to address concerns </w:t>
      </w:r>
      <w:r w:rsidR="00C11707">
        <w:t xml:space="preserve">about uncertainty in the </w:t>
      </w:r>
      <w:r w:rsidRPr="00BA5239">
        <w:t>Standard Method.</w:t>
      </w:r>
      <w:r w:rsidR="004638BC">
        <w:t xml:space="preserve">  (Note: The rule allows all </w:t>
      </w:r>
      <w:r w:rsidR="004638BC">
        <w:lastRenderedPageBreak/>
        <w:t xml:space="preserve">existing projects to select a scheduled rate adjustment method based on their existing rates; option must be selected within 2 years of </w:t>
      </w:r>
      <w:r w:rsidR="00BC6A69">
        <w:t xml:space="preserve">the rule’s </w:t>
      </w:r>
      <w:r w:rsidR="004638BC">
        <w:t>effective date.)</w:t>
      </w:r>
    </w:p>
    <w:p w14:paraId="1E29510A" w14:textId="5D2A4BB9" w:rsidR="00017B34" w:rsidRDefault="00765196" w:rsidP="004638BC">
      <w:pPr>
        <w:pStyle w:val="ListParagraph"/>
        <w:numPr>
          <w:ilvl w:val="1"/>
          <w:numId w:val="17"/>
        </w:numPr>
        <w:spacing w:after="0"/>
        <w:ind w:left="720"/>
      </w:pPr>
      <w:r w:rsidRPr="00BA5239">
        <w:t>In addition to these options, developers retain the right to request alternat</w:t>
      </w:r>
      <w:r w:rsidR="00C11707">
        <w:t>ive project- or region-specific</w:t>
      </w:r>
      <w:r w:rsidRPr="00BA5239">
        <w:t xml:space="preserve"> payment terms </w:t>
      </w:r>
      <w:r w:rsidR="004638BC" w:rsidRPr="00BA5239">
        <w:t>– e.g., acreage rent and MW capacity fees</w:t>
      </w:r>
      <w:r w:rsidR="00017B34" w:rsidRPr="00BA5239">
        <w:t>.</w:t>
      </w:r>
    </w:p>
    <w:p w14:paraId="3B8B8405" w14:textId="4B171FFB" w:rsidR="00F00AD5" w:rsidRPr="00BA5239" w:rsidRDefault="00017B34" w:rsidP="004638BC">
      <w:pPr>
        <w:pStyle w:val="ListParagraph"/>
        <w:numPr>
          <w:ilvl w:val="0"/>
          <w:numId w:val="17"/>
        </w:numPr>
        <w:spacing w:after="0"/>
        <w:ind w:left="360"/>
      </w:pPr>
      <w:r w:rsidRPr="00BA5239">
        <w:t>The</w:t>
      </w:r>
      <w:r w:rsidR="00F00AD5" w:rsidRPr="00BA5239">
        <w:t xml:space="preserve"> </w:t>
      </w:r>
      <w:r w:rsidR="00A63D03">
        <w:t xml:space="preserve">proposed rule’s </w:t>
      </w:r>
      <w:r w:rsidR="00F00AD5" w:rsidRPr="00BA5239">
        <w:t xml:space="preserve">requirement for pre-application meetings </w:t>
      </w:r>
      <w:r w:rsidRPr="00BA5239">
        <w:t>has been modified to require</w:t>
      </w:r>
      <w:r w:rsidR="00F00AD5" w:rsidRPr="00BA5239">
        <w:t xml:space="preserve"> “preliminary application review meetings”</w:t>
      </w:r>
      <w:r w:rsidRPr="00BA5239">
        <w:t xml:space="preserve"> after the submission of an application</w:t>
      </w:r>
      <w:r w:rsidR="00F00AD5" w:rsidRPr="00BA5239">
        <w:t>.</w:t>
      </w:r>
    </w:p>
    <w:p w14:paraId="58BA87DC" w14:textId="10AD8F28" w:rsidR="00F00AD5" w:rsidRPr="00BA5239" w:rsidRDefault="00A63D03" w:rsidP="004638BC">
      <w:pPr>
        <w:pStyle w:val="ListParagraph"/>
        <w:numPr>
          <w:ilvl w:val="0"/>
          <w:numId w:val="17"/>
        </w:numPr>
        <w:spacing w:after="0"/>
        <w:ind w:left="360"/>
      </w:pPr>
      <w:r>
        <w:t>The final rule omits the proposed rule’s r</w:t>
      </w:r>
      <w:r w:rsidR="00F00AD5" w:rsidRPr="00BA5239">
        <w:t xml:space="preserve">equirements </w:t>
      </w:r>
      <w:r w:rsidR="000C26D4" w:rsidRPr="00BA5239">
        <w:t>for large-scale pipelines</w:t>
      </w:r>
      <w:r>
        <w:t xml:space="preserve"> </w:t>
      </w:r>
      <w:r w:rsidR="000C26D4" w:rsidRPr="00BA5239">
        <w:t>with</w:t>
      </w:r>
      <w:r w:rsidR="00F00AD5" w:rsidRPr="00BA5239">
        <w:t xml:space="preserve"> diameter of 10” or greater.</w:t>
      </w:r>
    </w:p>
    <w:p w14:paraId="7D14A1A3" w14:textId="77E10652" w:rsidR="00F00AD5" w:rsidRPr="00BA5239" w:rsidRDefault="00A63D03" w:rsidP="004638BC">
      <w:pPr>
        <w:pStyle w:val="ListParagraph"/>
        <w:numPr>
          <w:ilvl w:val="0"/>
          <w:numId w:val="17"/>
        </w:numPr>
        <w:spacing w:after="0"/>
        <w:ind w:left="360"/>
      </w:pPr>
      <w:r>
        <w:t>The final rule incorporates a state-</w:t>
      </w:r>
      <w:r w:rsidR="00F00AD5" w:rsidRPr="00BA5239">
        <w:t xml:space="preserve">specific factor </w:t>
      </w:r>
      <w:r w:rsidR="00765196" w:rsidRPr="00BA5239">
        <w:t xml:space="preserve">to adjust the </w:t>
      </w:r>
      <w:r w:rsidR="00F00AD5" w:rsidRPr="00BA5239">
        <w:t>solar and wind energy acreage rent determinations</w:t>
      </w:r>
      <w:r w:rsidR="00765196" w:rsidRPr="00BA5239">
        <w:t xml:space="preserve">.  The net effect of this factor </w:t>
      </w:r>
      <w:r w:rsidR="00BC6A69">
        <w:t>may</w:t>
      </w:r>
      <w:r w:rsidR="00F00AD5" w:rsidRPr="00BA5239">
        <w:t xml:space="preserve"> lower the zone a county is assigned based on NASS land values.</w:t>
      </w:r>
    </w:p>
    <w:p w14:paraId="7E2B3477" w14:textId="20FB883B" w:rsidR="00F00AD5" w:rsidRPr="00BA5239" w:rsidRDefault="00A63D03" w:rsidP="004638BC">
      <w:pPr>
        <w:pStyle w:val="ListParagraph"/>
        <w:numPr>
          <w:ilvl w:val="0"/>
          <w:numId w:val="17"/>
        </w:numPr>
        <w:spacing w:after="0"/>
        <w:ind w:left="360"/>
      </w:pPr>
      <w:r>
        <w:t xml:space="preserve">The final rule </w:t>
      </w:r>
      <w:r w:rsidR="004638BC">
        <w:t xml:space="preserve">expressly allows for </w:t>
      </w:r>
      <w:r w:rsidR="00F00AD5" w:rsidRPr="00BA5239">
        <w:t>consideration of energy storage</w:t>
      </w:r>
      <w:r>
        <w:t xml:space="preserve">, including </w:t>
      </w:r>
      <w:r w:rsidR="004638BC">
        <w:t>providing for the use of alternative</w:t>
      </w:r>
      <w:r w:rsidR="00765196" w:rsidRPr="00BA5239">
        <w:t xml:space="preserve"> MW capacity fees </w:t>
      </w:r>
      <w:r>
        <w:t>for projects that incorporate energy storage</w:t>
      </w:r>
      <w:r w:rsidR="00F00AD5" w:rsidRPr="00BA5239">
        <w:t>.</w:t>
      </w:r>
    </w:p>
    <w:p w14:paraId="22A916A8" w14:textId="39343E7E" w:rsidR="00F00AD5" w:rsidRPr="00BA5239" w:rsidRDefault="008C1AE1" w:rsidP="004638BC">
      <w:pPr>
        <w:pStyle w:val="ListParagraph"/>
        <w:numPr>
          <w:ilvl w:val="0"/>
          <w:numId w:val="17"/>
        </w:numPr>
        <w:spacing w:after="0"/>
        <w:ind w:left="360"/>
      </w:pPr>
      <w:r>
        <w:t>The final rule i</w:t>
      </w:r>
      <w:r w:rsidR="004638BC">
        <w:t>ncludes provisions that extend phase-in of new rates for pending wind energy projects that satisfy certain requirements</w:t>
      </w:r>
      <w:r w:rsidR="00F00AD5" w:rsidRPr="00BA5239">
        <w:t xml:space="preserve"> (</w:t>
      </w:r>
      <w:r w:rsidR="004638BC">
        <w:t>must have</w:t>
      </w:r>
      <w:r>
        <w:t xml:space="preserve"> had</w:t>
      </w:r>
      <w:r w:rsidR="004638BC">
        <w:t xml:space="preserve"> an </w:t>
      </w:r>
      <w:r w:rsidR="00F00AD5" w:rsidRPr="00BA5239">
        <w:t xml:space="preserve">application, POD, and cost recovery </w:t>
      </w:r>
      <w:r w:rsidR="004638BC">
        <w:t xml:space="preserve">agreement </w:t>
      </w:r>
      <w:r w:rsidR="00F00AD5" w:rsidRPr="00BA5239">
        <w:t>in place before September 30, 2014).</w:t>
      </w:r>
    </w:p>
    <w:p w14:paraId="2903463E" w14:textId="5B9E2CAE" w:rsidR="00B3296A" w:rsidRPr="00BA5239" w:rsidRDefault="000C26D4" w:rsidP="004638BC">
      <w:pPr>
        <w:pStyle w:val="ListParagraph"/>
        <w:numPr>
          <w:ilvl w:val="0"/>
          <w:numId w:val="17"/>
        </w:numPr>
        <w:spacing w:after="0"/>
        <w:ind w:left="360"/>
      </w:pPr>
      <w:r w:rsidRPr="00BA5239">
        <w:t>Bonding requirements now clearly provide for consideration of salvage and other values for project materials</w:t>
      </w:r>
      <w:r w:rsidR="00A63D03">
        <w:t>, if project proponents provide</w:t>
      </w:r>
      <w:r w:rsidRPr="00BA5239">
        <w:t xml:space="preserve"> adequate supporting documentation </w:t>
      </w:r>
      <w:r w:rsidR="00A63D03">
        <w:t>with their</w:t>
      </w:r>
      <w:r w:rsidRPr="00BA5239">
        <w:t xml:space="preserve"> reclamation cost estimate.</w:t>
      </w:r>
    </w:p>
    <w:p w14:paraId="58CDC9AD" w14:textId="77777777" w:rsidR="00DD18FF" w:rsidRDefault="00DD18FF" w:rsidP="00DD18FF">
      <w:pPr>
        <w:spacing w:after="0" w:line="240" w:lineRule="auto"/>
        <w:rPr>
          <w:rFonts w:ascii="Times New Roman" w:hAnsi="Times New Roman" w:cs="Times New Roman"/>
          <w:b/>
          <w:sz w:val="24"/>
          <w:szCs w:val="24"/>
          <w:u w:val="single"/>
        </w:rPr>
      </w:pPr>
    </w:p>
    <w:p w14:paraId="4224B7E1" w14:textId="202B2F75" w:rsidR="009C137D" w:rsidRDefault="006A46B7" w:rsidP="00DD18FF">
      <w:pPr>
        <w:spacing w:after="0" w:line="240" w:lineRule="auto"/>
        <w:rPr>
          <w:rFonts w:ascii="Times New Roman" w:hAnsi="Times New Roman" w:cs="Times New Roman"/>
          <w:b/>
          <w:sz w:val="24"/>
          <w:szCs w:val="24"/>
          <w:u w:val="single"/>
        </w:rPr>
      </w:pPr>
      <w:r w:rsidRPr="00CF70E9">
        <w:rPr>
          <w:rFonts w:ascii="Times New Roman" w:hAnsi="Times New Roman" w:cs="Times New Roman"/>
          <w:b/>
          <w:sz w:val="24"/>
          <w:szCs w:val="24"/>
          <w:u w:val="single"/>
        </w:rPr>
        <w:t>C</w:t>
      </w:r>
      <w:r w:rsidR="00E12C54" w:rsidRPr="00CF70E9">
        <w:rPr>
          <w:rFonts w:ascii="Times New Roman" w:hAnsi="Times New Roman" w:cs="Times New Roman"/>
          <w:b/>
          <w:sz w:val="24"/>
          <w:szCs w:val="24"/>
          <w:u w:val="single"/>
        </w:rPr>
        <w:t>ompliance</w:t>
      </w:r>
      <w:r w:rsidRPr="00CF70E9">
        <w:rPr>
          <w:rFonts w:ascii="Times New Roman" w:hAnsi="Times New Roman" w:cs="Times New Roman"/>
          <w:b/>
          <w:sz w:val="24"/>
          <w:szCs w:val="24"/>
          <w:u w:val="single"/>
        </w:rPr>
        <w:t xml:space="preserve"> </w:t>
      </w:r>
      <w:r w:rsidR="007C02AD" w:rsidRPr="00CF70E9">
        <w:rPr>
          <w:rFonts w:ascii="Times New Roman" w:hAnsi="Times New Roman" w:cs="Times New Roman"/>
          <w:b/>
          <w:sz w:val="24"/>
          <w:szCs w:val="24"/>
          <w:u w:val="single"/>
        </w:rPr>
        <w:t>C</w:t>
      </w:r>
      <w:r w:rsidRPr="00CF70E9">
        <w:rPr>
          <w:rFonts w:ascii="Times New Roman" w:hAnsi="Times New Roman" w:cs="Times New Roman"/>
          <w:b/>
          <w:sz w:val="24"/>
          <w:szCs w:val="24"/>
          <w:u w:val="single"/>
        </w:rPr>
        <w:t>osts</w:t>
      </w:r>
    </w:p>
    <w:p w14:paraId="19143D90" w14:textId="77777777" w:rsidR="00765196" w:rsidRPr="00CF70E9" w:rsidRDefault="00765196" w:rsidP="00DD18FF">
      <w:pPr>
        <w:spacing w:after="0" w:line="240" w:lineRule="auto"/>
        <w:rPr>
          <w:rFonts w:ascii="Times New Roman" w:hAnsi="Times New Roman" w:cs="Times New Roman"/>
          <w:b/>
          <w:sz w:val="24"/>
          <w:szCs w:val="24"/>
          <w:u w:val="single"/>
        </w:rPr>
      </w:pPr>
    </w:p>
    <w:p w14:paraId="020900D5" w14:textId="43D9592B" w:rsidR="002839F7" w:rsidRDefault="00765196" w:rsidP="00DD18FF">
      <w:pPr>
        <w:spacing w:after="0" w:line="240" w:lineRule="auto"/>
        <w:rPr>
          <w:rFonts w:ascii="Times New Roman" w:hAnsi="Times New Roman" w:cs="Times New Roman"/>
          <w:color w:val="222222"/>
          <w:sz w:val="24"/>
          <w:szCs w:val="24"/>
        </w:rPr>
      </w:pPr>
      <w:r>
        <w:rPr>
          <w:rFonts w:ascii="Times New Roman" w:hAnsi="Times New Roman" w:cs="Times New Roman"/>
          <w:sz w:val="24"/>
          <w:szCs w:val="24"/>
        </w:rPr>
        <w:t>T</w:t>
      </w:r>
      <w:r w:rsidR="009C137D" w:rsidRPr="00CF70E9">
        <w:rPr>
          <w:rFonts w:ascii="Times New Roman" w:hAnsi="Times New Roman" w:cs="Times New Roman"/>
          <w:sz w:val="24"/>
          <w:szCs w:val="24"/>
        </w:rPr>
        <w:t xml:space="preserve">he BLM has determined that the final rule </w:t>
      </w:r>
      <w:r>
        <w:rPr>
          <w:rFonts w:ascii="Times New Roman" w:hAnsi="Times New Roman" w:cs="Times New Roman"/>
          <w:sz w:val="24"/>
          <w:szCs w:val="24"/>
        </w:rPr>
        <w:t>will</w:t>
      </w:r>
      <w:r w:rsidR="009C137D" w:rsidRPr="00CF70E9">
        <w:rPr>
          <w:rFonts w:ascii="Times New Roman" w:hAnsi="Times New Roman" w:cs="Times New Roman"/>
          <w:sz w:val="24"/>
          <w:szCs w:val="24"/>
        </w:rPr>
        <w:t xml:space="preserve"> not </w:t>
      </w:r>
      <w:r w:rsidR="00A63D03">
        <w:rPr>
          <w:rFonts w:ascii="Times New Roman" w:hAnsi="Times New Roman" w:cs="Times New Roman"/>
          <w:sz w:val="24"/>
          <w:szCs w:val="24"/>
        </w:rPr>
        <w:t>have</w:t>
      </w:r>
      <w:r w:rsidR="009C137D" w:rsidRPr="00CF70E9">
        <w:rPr>
          <w:rFonts w:ascii="Times New Roman" w:hAnsi="Times New Roman" w:cs="Times New Roman"/>
          <w:sz w:val="24"/>
          <w:szCs w:val="24"/>
        </w:rPr>
        <w:t xml:space="preserve"> a significant economic impact on a substantial number of small businesses</w:t>
      </w:r>
      <w:r w:rsidR="00A63D03">
        <w:rPr>
          <w:rFonts w:ascii="Times New Roman" w:hAnsi="Times New Roman" w:cs="Times New Roman"/>
          <w:sz w:val="24"/>
          <w:szCs w:val="24"/>
        </w:rPr>
        <w:t>. I</w:t>
      </w:r>
      <w:r w:rsidR="009C137D" w:rsidRPr="00CF70E9">
        <w:rPr>
          <w:rFonts w:ascii="Times New Roman" w:hAnsi="Times New Roman" w:cs="Times New Roman"/>
          <w:sz w:val="24"/>
          <w:szCs w:val="24"/>
        </w:rPr>
        <w:t>t will</w:t>
      </w:r>
      <w:r>
        <w:rPr>
          <w:rFonts w:ascii="Times New Roman" w:hAnsi="Times New Roman" w:cs="Times New Roman"/>
          <w:sz w:val="24"/>
          <w:szCs w:val="24"/>
        </w:rPr>
        <w:t>, however</w:t>
      </w:r>
      <w:r w:rsidR="008C1AE1">
        <w:rPr>
          <w:rFonts w:ascii="Times New Roman" w:hAnsi="Times New Roman" w:cs="Times New Roman"/>
          <w:sz w:val="24"/>
          <w:szCs w:val="24"/>
        </w:rPr>
        <w:t>,</w:t>
      </w:r>
      <w:r w:rsidR="009C137D" w:rsidRPr="00CF70E9">
        <w:rPr>
          <w:rFonts w:ascii="Times New Roman" w:hAnsi="Times New Roman" w:cs="Times New Roman"/>
          <w:sz w:val="24"/>
          <w:szCs w:val="24"/>
        </w:rPr>
        <w:t xml:space="preserve"> affect the </w:t>
      </w:r>
      <w:r w:rsidR="00363714">
        <w:rPr>
          <w:rFonts w:ascii="Times New Roman" w:hAnsi="Times New Roman" w:cs="Times New Roman"/>
          <w:sz w:val="24"/>
          <w:szCs w:val="24"/>
        </w:rPr>
        <w:t>payments</w:t>
      </w:r>
      <w:r>
        <w:rPr>
          <w:rFonts w:ascii="Times New Roman" w:hAnsi="Times New Roman" w:cs="Times New Roman"/>
          <w:sz w:val="24"/>
          <w:szCs w:val="24"/>
        </w:rPr>
        <w:t xml:space="preserve"> due from </w:t>
      </w:r>
      <w:r w:rsidR="009C137D" w:rsidRPr="00CF70E9">
        <w:rPr>
          <w:rFonts w:ascii="Times New Roman" w:hAnsi="Times New Roman" w:cs="Times New Roman"/>
          <w:sz w:val="24"/>
          <w:szCs w:val="24"/>
        </w:rPr>
        <w:t xml:space="preserve">all 44 existing wind authorizations and all 22 existing solar authorizations, </w:t>
      </w:r>
      <w:r w:rsidR="00A63D03">
        <w:rPr>
          <w:rFonts w:ascii="Times New Roman" w:hAnsi="Times New Roman" w:cs="Times New Roman"/>
          <w:sz w:val="24"/>
          <w:szCs w:val="24"/>
        </w:rPr>
        <w:t>and going forward will also affect</w:t>
      </w:r>
      <w:r w:rsidR="009C137D" w:rsidRPr="00CF70E9">
        <w:rPr>
          <w:rFonts w:ascii="Times New Roman" w:hAnsi="Times New Roman" w:cs="Times New Roman"/>
          <w:sz w:val="24"/>
          <w:szCs w:val="24"/>
        </w:rPr>
        <w:t xml:space="preserve"> an estimated three new solar </w:t>
      </w:r>
      <w:r w:rsidR="004638BC">
        <w:rPr>
          <w:rFonts w:ascii="Times New Roman" w:hAnsi="Times New Roman" w:cs="Times New Roman"/>
          <w:sz w:val="24"/>
          <w:szCs w:val="24"/>
        </w:rPr>
        <w:t xml:space="preserve">energy </w:t>
      </w:r>
      <w:r w:rsidR="009C137D" w:rsidRPr="00CF70E9">
        <w:rPr>
          <w:rFonts w:ascii="Times New Roman" w:hAnsi="Times New Roman" w:cs="Times New Roman"/>
          <w:sz w:val="24"/>
          <w:szCs w:val="24"/>
        </w:rPr>
        <w:t>grants</w:t>
      </w:r>
      <w:r w:rsidR="008C1AE1">
        <w:rPr>
          <w:rFonts w:ascii="Times New Roman" w:hAnsi="Times New Roman" w:cs="Times New Roman"/>
          <w:sz w:val="24"/>
          <w:szCs w:val="24"/>
        </w:rPr>
        <w:t xml:space="preserve"> per year</w:t>
      </w:r>
      <w:r w:rsidR="004638BC">
        <w:rPr>
          <w:rFonts w:ascii="Times New Roman" w:hAnsi="Times New Roman" w:cs="Times New Roman"/>
          <w:sz w:val="24"/>
          <w:szCs w:val="24"/>
        </w:rPr>
        <w:t xml:space="preserve">, </w:t>
      </w:r>
      <w:r w:rsidR="009C137D" w:rsidRPr="00CF70E9">
        <w:rPr>
          <w:rFonts w:ascii="Times New Roman" w:hAnsi="Times New Roman" w:cs="Times New Roman"/>
          <w:sz w:val="24"/>
          <w:szCs w:val="24"/>
        </w:rPr>
        <w:t xml:space="preserve">two new wind </w:t>
      </w:r>
      <w:r w:rsidR="004638BC">
        <w:rPr>
          <w:rFonts w:ascii="Times New Roman" w:hAnsi="Times New Roman" w:cs="Times New Roman"/>
          <w:sz w:val="24"/>
          <w:szCs w:val="24"/>
        </w:rPr>
        <w:t xml:space="preserve">energy </w:t>
      </w:r>
      <w:r w:rsidR="009C137D" w:rsidRPr="00CF70E9">
        <w:rPr>
          <w:rFonts w:ascii="Times New Roman" w:hAnsi="Times New Roman" w:cs="Times New Roman"/>
          <w:sz w:val="24"/>
          <w:szCs w:val="24"/>
        </w:rPr>
        <w:t>grants per year</w:t>
      </w:r>
      <w:r w:rsidR="004638BC">
        <w:rPr>
          <w:rFonts w:ascii="Times New Roman" w:hAnsi="Times New Roman" w:cs="Times New Roman"/>
          <w:sz w:val="24"/>
          <w:szCs w:val="24"/>
        </w:rPr>
        <w:t xml:space="preserve">, </w:t>
      </w:r>
      <w:r w:rsidR="008C1AE1">
        <w:rPr>
          <w:rFonts w:ascii="Times New Roman" w:hAnsi="Times New Roman" w:cs="Times New Roman"/>
          <w:sz w:val="24"/>
          <w:szCs w:val="24"/>
        </w:rPr>
        <w:t xml:space="preserve">and </w:t>
      </w:r>
      <w:r w:rsidR="004638BC">
        <w:rPr>
          <w:rFonts w:ascii="Times New Roman" w:hAnsi="Times New Roman" w:cs="Times New Roman"/>
          <w:sz w:val="24"/>
          <w:szCs w:val="24"/>
        </w:rPr>
        <w:t xml:space="preserve">one new lease per year. </w:t>
      </w:r>
      <w:r w:rsidR="009C137D" w:rsidRPr="00CF70E9">
        <w:rPr>
          <w:rFonts w:ascii="Times New Roman" w:hAnsi="Times New Roman" w:cs="Times New Roman"/>
          <w:sz w:val="24"/>
          <w:szCs w:val="24"/>
        </w:rPr>
        <w:t xml:space="preserve"> </w:t>
      </w:r>
      <w:r w:rsidR="009C137D" w:rsidRPr="00CF70E9">
        <w:rPr>
          <w:rFonts w:ascii="Times New Roman" w:hAnsi="Times New Roman" w:cs="Times New Roman"/>
          <w:color w:val="222222"/>
          <w:sz w:val="24"/>
          <w:szCs w:val="24"/>
        </w:rPr>
        <w:t>Of all of the provisions in the final rule, those related to project rents and fees</w:t>
      </w:r>
      <w:r w:rsidR="00A63D03">
        <w:rPr>
          <w:rFonts w:ascii="Times New Roman" w:hAnsi="Times New Roman" w:cs="Times New Roman"/>
          <w:color w:val="222222"/>
          <w:sz w:val="24"/>
          <w:szCs w:val="24"/>
        </w:rPr>
        <w:t xml:space="preserve"> (including late payment fees, MW capacity fees, and testing fees) </w:t>
      </w:r>
      <w:r w:rsidR="009C137D" w:rsidRPr="00CF70E9">
        <w:rPr>
          <w:rFonts w:ascii="Times New Roman" w:hAnsi="Times New Roman" w:cs="Times New Roman"/>
          <w:color w:val="222222"/>
          <w:sz w:val="24"/>
          <w:szCs w:val="24"/>
        </w:rPr>
        <w:t xml:space="preserve">will have the </w:t>
      </w:r>
      <w:r w:rsidR="002839F7">
        <w:rPr>
          <w:rFonts w:ascii="Times New Roman" w:hAnsi="Times New Roman" w:cs="Times New Roman"/>
          <w:color w:val="222222"/>
          <w:sz w:val="24"/>
          <w:szCs w:val="24"/>
        </w:rPr>
        <w:t xml:space="preserve">largest </w:t>
      </w:r>
      <w:r w:rsidR="008C1AE1">
        <w:rPr>
          <w:rFonts w:ascii="Times New Roman" w:hAnsi="Times New Roman" w:cs="Times New Roman"/>
          <w:color w:val="222222"/>
          <w:sz w:val="24"/>
          <w:szCs w:val="24"/>
        </w:rPr>
        <w:t xml:space="preserve">economic </w:t>
      </w:r>
      <w:r w:rsidR="009C137D" w:rsidRPr="00CF70E9">
        <w:rPr>
          <w:rFonts w:ascii="Times New Roman" w:hAnsi="Times New Roman" w:cs="Times New Roman"/>
          <w:color w:val="222222"/>
          <w:sz w:val="24"/>
          <w:szCs w:val="24"/>
        </w:rPr>
        <w:t>impact.</w:t>
      </w:r>
    </w:p>
    <w:p w14:paraId="5A2F8EFA" w14:textId="77777777" w:rsidR="002839F7" w:rsidRDefault="002839F7" w:rsidP="00DD18FF">
      <w:pPr>
        <w:spacing w:after="0" w:line="240" w:lineRule="auto"/>
        <w:rPr>
          <w:rFonts w:ascii="Times New Roman" w:hAnsi="Times New Roman" w:cs="Times New Roman"/>
          <w:color w:val="222222"/>
          <w:sz w:val="24"/>
          <w:szCs w:val="24"/>
        </w:rPr>
      </w:pPr>
    </w:p>
    <w:p w14:paraId="15AF1772" w14:textId="40A4A245" w:rsidR="009C137D" w:rsidRPr="00CF70E9" w:rsidRDefault="002839F7" w:rsidP="00DD18FF">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Based on studies prepared by the Department’s </w:t>
      </w:r>
      <w:r w:rsidR="009C137D" w:rsidRPr="00CF70E9">
        <w:rPr>
          <w:rFonts w:ascii="Times New Roman" w:hAnsi="Times New Roman" w:cs="Times New Roman"/>
          <w:color w:val="222222"/>
          <w:sz w:val="24"/>
          <w:szCs w:val="24"/>
        </w:rPr>
        <w:t>Office of Valuation Services</w:t>
      </w:r>
      <w:r w:rsidR="00A63D03">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sidR="00A63D03">
        <w:rPr>
          <w:rFonts w:ascii="Times New Roman" w:hAnsi="Times New Roman" w:cs="Times New Roman"/>
          <w:color w:val="222222"/>
          <w:sz w:val="24"/>
          <w:szCs w:val="24"/>
        </w:rPr>
        <w:t>relative to the BLM’s current policies, the rule will</w:t>
      </w:r>
      <w:r w:rsidR="00CD016F">
        <w:rPr>
          <w:rFonts w:ascii="Times New Roman" w:hAnsi="Times New Roman" w:cs="Times New Roman"/>
          <w:color w:val="222222"/>
          <w:sz w:val="24"/>
          <w:szCs w:val="24"/>
        </w:rPr>
        <w:t xml:space="preserve"> generally</w:t>
      </w:r>
      <w:r w:rsidR="00A63D03">
        <w:rPr>
          <w:rFonts w:ascii="Times New Roman" w:hAnsi="Times New Roman" w:cs="Times New Roman"/>
          <w:color w:val="222222"/>
          <w:sz w:val="24"/>
          <w:szCs w:val="24"/>
        </w:rPr>
        <w:t xml:space="preserve"> increase rents and fees </w:t>
      </w:r>
      <w:r w:rsidR="00363714">
        <w:rPr>
          <w:rFonts w:ascii="Times New Roman" w:hAnsi="Times New Roman" w:cs="Times New Roman"/>
          <w:color w:val="222222"/>
          <w:sz w:val="24"/>
          <w:szCs w:val="24"/>
        </w:rPr>
        <w:t xml:space="preserve">for </w:t>
      </w:r>
      <w:r w:rsidR="009C137D" w:rsidRPr="00CF70E9">
        <w:rPr>
          <w:rFonts w:ascii="Times New Roman" w:hAnsi="Times New Roman" w:cs="Times New Roman"/>
          <w:color w:val="222222"/>
          <w:sz w:val="24"/>
          <w:szCs w:val="24"/>
        </w:rPr>
        <w:t xml:space="preserve">wind projects </w:t>
      </w:r>
      <w:r w:rsidR="00A63D03">
        <w:rPr>
          <w:rFonts w:ascii="Times New Roman" w:hAnsi="Times New Roman" w:cs="Times New Roman"/>
          <w:color w:val="222222"/>
          <w:sz w:val="24"/>
          <w:szCs w:val="24"/>
        </w:rPr>
        <w:t xml:space="preserve">and decrease rents and fees for </w:t>
      </w:r>
      <w:r w:rsidR="009C137D" w:rsidRPr="00CF70E9">
        <w:rPr>
          <w:rFonts w:ascii="Times New Roman" w:hAnsi="Times New Roman" w:cs="Times New Roman"/>
          <w:color w:val="222222"/>
          <w:sz w:val="24"/>
          <w:szCs w:val="24"/>
        </w:rPr>
        <w:t>solar projects</w:t>
      </w:r>
      <w:r w:rsidR="00363714">
        <w:rPr>
          <w:rFonts w:ascii="Times New Roman" w:hAnsi="Times New Roman" w:cs="Times New Roman"/>
          <w:color w:val="222222"/>
          <w:sz w:val="24"/>
          <w:szCs w:val="24"/>
        </w:rPr>
        <w:t xml:space="preserve">. </w:t>
      </w:r>
      <w:r w:rsidR="00CD016F">
        <w:rPr>
          <w:rFonts w:ascii="Times New Roman" w:hAnsi="Times New Roman" w:cs="Times New Roman"/>
          <w:color w:val="222222"/>
          <w:sz w:val="24"/>
          <w:szCs w:val="24"/>
        </w:rPr>
        <w:t>T</w:t>
      </w:r>
      <w:r w:rsidR="00A63D03">
        <w:rPr>
          <w:rFonts w:ascii="Times New Roman" w:hAnsi="Times New Roman" w:cs="Times New Roman"/>
          <w:color w:val="222222"/>
          <w:sz w:val="24"/>
          <w:szCs w:val="24"/>
        </w:rPr>
        <w:t>he</w:t>
      </w:r>
      <w:r w:rsidR="009C137D" w:rsidRPr="00CF70E9">
        <w:rPr>
          <w:rFonts w:ascii="Times New Roman" w:hAnsi="Times New Roman" w:cs="Times New Roman"/>
          <w:color w:val="222222"/>
          <w:sz w:val="24"/>
          <w:szCs w:val="24"/>
        </w:rPr>
        <w:t xml:space="preserve"> impact of the</w:t>
      </w:r>
      <w:r w:rsidR="00A63D03">
        <w:rPr>
          <w:rFonts w:ascii="Times New Roman" w:hAnsi="Times New Roman" w:cs="Times New Roman"/>
          <w:color w:val="222222"/>
          <w:sz w:val="24"/>
          <w:szCs w:val="24"/>
        </w:rPr>
        <w:t xml:space="preserve"> rule’</w:t>
      </w:r>
      <w:r w:rsidR="009C137D" w:rsidRPr="00CF70E9">
        <w:rPr>
          <w:rFonts w:ascii="Times New Roman" w:hAnsi="Times New Roman" w:cs="Times New Roman"/>
          <w:color w:val="222222"/>
          <w:sz w:val="24"/>
          <w:szCs w:val="24"/>
        </w:rPr>
        <w:t xml:space="preserve">s provisions on </w:t>
      </w:r>
      <w:r w:rsidR="00A63D03">
        <w:rPr>
          <w:rFonts w:ascii="Times New Roman" w:hAnsi="Times New Roman" w:cs="Times New Roman"/>
          <w:color w:val="222222"/>
          <w:sz w:val="24"/>
          <w:szCs w:val="24"/>
        </w:rPr>
        <w:t>any</w:t>
      </w:r>
      <w:r w:rsidR="00A63D03" w:rsidRPr="00CF70E9">
        <w:rPr>
          <w:rFonts w:ascii="Times New Roman" w:hAnsi="Times New Roman" w:cs="Times New Roman"/>
          <w:color w:val="222222"/>
          <w:sz w:val="24"/>
          <w:szCs w:val="24"/>
        </w:rPr>
        <w:t xml:space="preserve"> </w:t>
      </w:r>
      <w:r w:rsidR="009C137D" w:rsidRPr="00CF70E9">
        <w:rPr>
          <w:rFonts w:ascii="Times New Roman" w:hAnsi="Times New Roman" w:cs="Times New Roman"/>
          <w:color w:val="222222"/>
          <w:sz w:val="24"/>
          <w:szCs w:val="24"/>
        </w:rPr>
        <w:t>individual project</w:t>
      </w:r>
      <w:r w:rsidR="00CD016F">
        <w:rPr>
          <w:rFonts w:ascii="Times New Roman" w:hAnsi="Times New Roman" w:cs="Times New Roman"/>
          <w:color w:val="222222"/>
          <w:sz w:val="24"/>
          <w:szCs w:val="24"/>
        </w:rPr>
        <w:t>, however,</w:t>
      </w:r>
      <w:r w:rsidR="009C137D" w:rsidRPr="00CF70E9">
        <w:rPr>
          <w:rFonts w:ascii="Times New Roman" w:hAnsi="Times New Roman" w:cs="Times New Roman"/>
          <w:color w:val="222222"/>
          <w:sz w:val="24"/>
          <w:szCs w:val="24"/>
        </w:rPr>
        <w:t xml:space="preserve"> will depend </w:t>
      </w:r>
      <w:r w:rsidR="00363714">
        <w:rPr>
          <w:rFonts w:ascii="Times New Roman" w:hAnsi="Times New Roman" w:cs="Times New Roman"/>
          <w:color w:val="222222"/>
          <w:sz w:val="24"/>
          <w:szCs w:val="24"/>
        </w:rPr>
        <w:t xml:space="preserve">on </w:t>
      </w:r>
      <w:r w:rsidR="009C137D" w:rsidRPr="00CF70E9">
        <w:rPr>
          <w:rFonts w:ascii="Times New Roman" w:hAnsi="Times New Roman" w:cs="Times New Roman"/>
          <w:color w:val="222222"/>
          <w:sz w:val="24"/>
          <w:szCs w:val="24"/>
        </w:rPr>
        <w:t xml:space="preserve">whether </w:t>
      </w:r>
      <w:r w:rsidR="00CD016F">
        <w:rPr>
          <w:rFonts w:ascii="Times New Roman" w:hAnsi="Times New Roman" w:cs="Times New Roman"/>
          <w:color w:val="222222"/>
          <w:sz w:val="24"/>
          <w:szCs w:val="24"/>
        </w:rPr>
        <w:t>the project</w:t>
      </w:r>
      <w:r w:rsidR="009C137D" w:rsidRPr="00CF70E9">
        <w:rPr>
          <w:rFonts w:ascii="Times New Roman" w:hAnsi="Times New Roman" w:cs="Times New Roman"/>
          <w:color w:val="222222"/>
          <w:sz w:val="24"/>
          <w:szCs w:val="24"/>
        </w:rPr>
        <w:t xml:space="preserve"> is new or existing, whether it </w:t>
      </w:r>
      <w:r w:rsidR="00A63D03">
        <w:rPr>
          <w:rFonts w:ascii="Times New Roman" w:hAnsi="Times New Roman" w:cs="Times New Roman"/>
          <w:color w:val="222222"/>
          <w:sz w:val="24"/>
          <w:szCs w:val="24"/>
        </w:rPr>
        <w:t>relies on</w:t>
      </w:r>
      <w:r w:rsidR="00A63D03" w:rsidRPr="00CF70E9">
        <w:rPr>
          <w:rFonts w:ascii="Times New Roman" w:hAnsi="Times New Roman" w:cs="Times New Roman"/>
          <w:color w:val="222222"/>
          <w:sz w:val="24"/>
          <w:szCs w:val="24"/>
        </w:rPr>
        <w:t xml:space="preserve"> </w:t>
      </w:r>
      <w:r w:rsidR="009C137D" w:rsidRPr="00CF70E9">
        <w:rPr>
          <w:rFonts w:ascii="Times New Roman" w:hAnsi="Times New Roman" w:cs="Times New Roman"/>
          <w:color w:val="222222"/>
          <w:sz w:val="24"/>
          <w:szCs w:val="24"/>
        </w:rPr>
        <w:t xml:space="preserve">a grant or a lease, and whether the project operator </w:t>
      </w:r>
      <w:r w:rsidR="00363714">
        <w:rPr>
          <w:rFonts w:ascii="Times New Roman" w:hAnsi="Times New Roman" w:cs="Times New Roman"/>
          <w:color w:val="222222"/>
          <w:sz w:val="24"/>
          <w:szCs w:val="24"/>
        </w:rPr>
        <w:t>s</w:t>
      </w:r>
      <w:r w:rsidR="009C137D" w:rsidRPr="00CF70E9">
        <w:rPr>
          <w:rFonts w:ascii="Times New Roman" w:hAnsi="Times New Roman" w:cs="Times New Roman"/>
          <w:color w:val="222222"/>
          <w:sz w:val="24"/>
          <w:szCs w:val="24"/>
        </w:rPr>
        <w:t>elects the standard or scheduled rate adjustment method, among other factors.</w:t>
      </w:r>
    </w:p>
    <w:p w14:paraId="792328AF" w14:textId="77777777" w:rsidR="009C137D" w:rsidRPr="00CF70E9" w:rsidRDefault="009C137D" w:rsidP="00DD18FF">
      <w:pPr>
        <w:spacing w:after="0" w:line="240" w:lineRule="auto"/>
        <w:rPr>
          <w:rFonts w:ascii="Times New Roman" w:hAnsi="Times New Roman" w:cs="Times New Roman"/>
          <w:sz w:val="24"/>
          <w:szCs w:val="24"/>
        </w:rPr>
      </w:pPr>
    </w:p>
    <w:p w14:paraId="54DCAB39" w14:textId="34F0E793" w:rsidR="009C137D" w:rsidRPr="00CF70E9" w:rsidRDefault="00CD016F" w:rsidP="00DD18FF">
      <w:pPr>
        <w:spacing w:after="0" w:line="240" w:lineRule="auto"/>
        <w:rPr>
          <w:rFonts w:ascii="Times New Roman" w:hAnsi="Times New Roman" w:cs="Times New Roman"/>
          <w:sz w:val="24"/>
          <w:szCs w:val="24"/>
        </w:rPr>
      </w:pPr>
      <w:r>
        <w:rPr>
          <w:rFonts w:ascii="Times New Roman" w:hAnsi="Times New Roman" w:cs="Times New Roman"/>
          <w:color w:val="222222"/>
          <w:sz w:val="24"/>
          <w:szCs w:val="24"/>
        </w:rPr>
        <w:t xml:space="preserve">Overall, the rule will result in </w:t>
      </w:r>
      <w:r w:rsidR="00AE4CE0">
        <w:rPr>
          <w:rFonts w:ascii="Times New Roman" w:hAnsi="Times New Roman" w:cs="Times New Roman"/>
          <w:color w:val="222222"/>
          <w:sz w:val="24"/>
          <w:szCs w:val="24"/>
        </w:rPr>
        <w:t xml:space="preserve">both one time and annual </w:t>
      </w:r>
      <w:r>
        <w:rPr>
          <w:rFonts w:ascii="Times New Roman" w:hAnsi="Times New Roman" w:cs="Times New Roman"/>
          <w:color w:val="222222"/>
          <w:sz w:val="24"/>
          <w:szCs w:val="24"/>
        </w:rPr>
        <w:t>net reduction</w:t>
      </w:r>
      <w:r w:rsidR="00AE4CE0">
        <w:rPr>
          <w:rFonts w:ascii="Times New Roman" w:hAnsi="Times New Roman" w:cs="Times New Roman"/>
          <w:color w:val="222222"/>
          <w:sz w:val="24"/>
          <w:szCs w:val="24"/>
        </w:rPr>
        <w:t>s</w:t>
      </w:r>
      <w:r>
        <w:rPr>
          <w:rFonts w:ascii="Times New Roman" w:hAnsi="Times New Roman" w:cs="Times New Roman"/>
          <w:color w:val="222222"/>
          <w:sz w:val="24"/>
          <w:szCs w:val="24"/>
        </w:rPr>
        <w:t xml:space="preserve"> in payments to the BLM.  </w:t>
      </w:r>
      <w:r w:rsidR="00AE4CE0">
        <w:rPr>
          <w:rFonts w:ascii="Times New Roman" w:hAnsi="Times New Roman" w:cs="Times New Roman"/>
          <w:color w:val="222222"/>
          <w:sz w:val="24"/>
          <w:szCs w:val="24"/>
        </w:rPr>
        <w:t>A</w:t>
      </w:r>
      <w:r>
        <w:rPr>
          <w:rFonts w:ascii="Times New Roman" w:hAnsi="Times New Roman" w:cs="Times New Roman"/>
          <w:color w:val="222222"/>
          <w:sz w:val="24"/>
          <w:szCs w:val="24"/>
        </w:rPr>
        <w:t xml:space="preserve">cross </w:t>
      </w:r>
      <w:r w:rsidR="009C137D" w:rsidRPr="00CF70E9">
        <w:rPr>
          <w:rFonts w:ascii="Times New Roman" w:hAnsi="Times New Roman" w:cs="Times New Roman"/>
          <w:color w:val="222222"/>
          <w:sz w:val="24"/>
          <w:szCs w:val="24"/>
        </w:rPr>
        <w:t xml:space="preserve">all operators, the </w:t>
      </w:r>
      <w:r w:rsidR="00AE4CE0">
        <w:rPr>
          <w:rFonts w:ascii="Times New Roman" w:hAnsi="Times New Roman" w:cs="Times New Roman"/>
          <w:color w:val="222222"/>
          <w:sz w:val="24"/>
          <w:szCs w:val="24"/>
        </w:rPr>
        <w:t xml:space="preserve">BLM estimates </w:t>
      </w:r>
      <w:r w:rsidR="008C1AE1">
        <w:rPr>
          <w:rFonts w:ascii="Times New Roman" w:hAnsi="Times New Roman" w:cs="Times New Roman"/>
          <w:color w:val="222222"/>
          <w:sz w:val="24"/>
          <w:szCs w:val="24"/>
        </w:rPr>
        <w:t xml:space="preserve">these </w:t>
      </w:r>
      <w:r w:rsidR="00AE4CE0">
        <w:rPr>
          <w:rFonts w:ascii="Times New Roman" w:hAnsi="Times New Roman" w:cs="Times New Roman"/>
          <w:color w:val="222222"/>
          <w:sz w:val="24"/>
          <w:szCs w:val="24"/>
        </w:rPr>
        <w:t>reduction</w:t>
      </w:r>
      <w:r w:rsidR="008C1AE1">
        <w:rPr>
          <w:rFonts w:ascii="Times New Roman" w:hAnsi="Times New Roman" w:cs="Times New Roman"/>
          <w:color w:val="222222"/>
          <w:sz w:val="24"/>
          <w:szCs w:val="24"/>
        </w:rPr>
        <w:t>s</w:t>
      </w:r>
      <w:r w:rsidR="00AE4CE0">
        <w:rPr>
          <w:rFonts w:ascii="Times New Roman" w:hAnsi="Times New Roman" w:cs="Times New Roman"/>
          <w:color w:val="222222"/>
          <w:sz w:val="24"/>
          <w:szCs w:val="24"/>
        </w:rPr>
        <w:t xml:space="preserve"> to be</w:t>
      </w:r>
      <w:r w:rsidR="008C1AE1">
        <w:rPr>
          <w:rFonts w:ascii="Times New Roman" w:hAnsi="Times New Roman" w:cs="Times New Roman"/>
          <w:color w:val="222222"/>
          <w:sz w:val="24"/>
          <w:szCs w:val="24"/>
        </w:rPr>
        <w:t>:</w:t>
      </w:r>
      <w:r w:rsidR="00AE4CE0">
        <w:rPr>
          <w:rFonts w:ascii="Times New Roman" w:hAnsi="Times New Roman" w:cs="Times New Roman"/>
          <w:color w:val="222222"/>
          <w:sz w:val="24"/>
          <w:szCs w:val="24"/>
        </w:rPr>
        <w:t xml:space="preserve"> </w:t>
      </w:r>
      <w:r w:rsidR="009C137D" w:rsidRPr="00CF70E9">
        <w:rPr>
          <w:rFonts w:ascii="Times New Roman" w:hAnsi="Times New Roman" w:cs="Times New Roman"/>
          <w:color w:val="222222"/>
          <w:sz w:val="24"/>
          <w:szCs w:val="24"/>
        </w:rPr>
        <w:t>$1.5 million</w:t>
      </w:r>
      <w:r w:rsidR="00AE4CE0">
        <w:rPr>
          <w:rFonts w:ascii="Times New Roman" w:hAnsi="Times New Roman" w:cs="Times New Roman"/>
          <w:color w:val="222222"/>
          <w:sz w:val="24"/>
          <w:szCs w:val="24"/>
        </w:rPr>
        <w:t xml:space="preserve"> on a one-time basis and </w:t>
      </w:r>
      <w:r w:rsidR="009C137D" w:rsidRPr="00CF70E9">
        <w:rPr>
          <w:rFonts w:ascii="Times New Roman" w:hAnsi="Times New Roman" w:cs="Times New Roman"/>
          <w:color w:val="222222"/>
          <w:sz w:val="24"/>
          <w:szCs w:val="24"/>
        </w:rPr>
        <w:t xml:space="preserve">$14.2 million </w:t>
      </w:r>
      <w:r w:rsidR="002839F7">
        <w:rPr>
          <w:rFonts w:ascii="Times New Roman" w:hAnsi="Times New Roman" w:cs="Times New Roman"/>
          <w:color w:val="222222"/>
          <w:sz w:val="24"/>
          <w:szCs w:val="24"/>
        </w:rPr>
        <w:t>net</w:t>
      </w:r>
      <w:r w:rsidR="00AE4CE0">
        <w:rPr>
          <w:rFonts w:ascii="Times New Roman" w:hAnsi="Times New Roman" w:cs="Times New Roman"/>
          <w:color w:val="222222"/>
          <w:sz w:val="24"/>
          <w:szCs w:val="24"/>
        </w:rPr>
        <w:t xml:space="preserve"> on an ongoing annual basis </w:t>
      </w:r>
      <w:r w:rsidR="002839F7">
        <w:rPr>
          <w:rFonts w:ascii="Times New Roman" w:hAnsi="Times New Roman" w:cs="Times New Roman"/>
          <w:color w:val="222222"/>
          <w:sz w:val="24"/>
          <w:szCs w:val="24"/>
        </w:rPr>
        <w:t>across all projects</w:t>
      </w:r>
      <w:r w:rsidR="009C137D" w:rsidRPr="00CF70E9">
        <w:rPr>
          <w:rFonts w:ascii="Times New Roman" w:hAnsi="Times New Roman" w:cs="Times New Roman"/>
          <w:color w:val="222222"/>
          <w:sz w:val="24"/>
          <w:szCs w:val="24"/>
        </w:rPr>
        <w:t>.</w:t>
      </w:r>
      <w:r w:rsidR="002839F7">
        <w:rPr>
          <w:rStyle w:val="FootnoteReference"/>
          <w:rFonts w:ascii="Times New Roman" w:hAnsi="Times New Roman" w:cs="Times New Roman"/>
          <w:color w:val="222222"/>
          <w:sz w:val="24"/>
          <w:szCs w:val="24"/>
        </w:rPr>
        <w:footnoteReference w:id="3"/>
      </w:r>
      <w:r w:rsidR="009C137D" w:rsidRPr="00CF70E9">
        <w:rPr>
          <w:rFonts w:ascii="Times New Roman" w:hAnsi="Times New Roman" w:cs="Times New Roman"/>
          <w:color w:val="222222"/>
          <w:sz w:val="24"/>
          <w:szCs w:val="24"/>
        </w:rPr>
        <w:t xml:space="preserve">  </w:t>
      </w:r>
    </w:p>
    <w:p w14:paraId="69BED460" w14:textId="77777777" w:rsidR="00DD18FF" w:rsidRDefault="00DD18FF" w:rsidP="00DD18FF">
      <w:pPr>
        <w:spacing w:after="0" w:line="240" w:lineRule="auto"/>
        <w:rPr>
          <w:rFonts w:ascii="Times New Roman" w:hAnsi="Times New Roman" w:cs="Times New Roman"/>
          <w:b/>
          <w:sz w:val="24"/>
          <w:szCs w:val="24"/>
          <w:u w:val="single"/>
        </w:rPr>
      </w:pPr>
    </w:p>
    <w:p w14:paraId="7ADB1291" w14:textId="58E6619B" w:rsidR="00637990" w:rsidRPr="00CF70E9" w:rsidRDefault="0049439A" w:rsidP="00DD18FF">
      <w:pPr>
        <w:spacing w:after="0" w:line="240" w:lineRule="auto"/>
        <w:rPr>
          <w:rFonts w:ascii="Times New Roman" w:hAnsi="Times New Roman" w:cs="Times New Roman"/>
          <w:b/>
          <w:sz w:val="24"/>
          <w:szCs w:val="24"/>
          <w:u w:val="single"/>
        </w:rPr>
      </w:pPr>
      <w:r w:rsidRPr="00CF70E9">
        <w:rPr>
          <w:rFonts w:ascii="Times New Roman" w:hAnsi="Times New Roman" w:cs="Times New Roman"/>
          <w:b/>
          <w:sz w:val="24"/>
          <w:szCs w:val="24"/>
          <w:u w:val="single"/>
        </w:rPr>
        <w:t>Procedural History</w:t>
      </w:r>
    </w:p>
    <w:p w14:paraId="72CEFEF0" w14:textId="51443F00" w:rsidR="00295E35" w:rsidRPr="00CF70E9" w:rsidRDefault="00295E35" w:rsidP="00DD18FF">
      <w:pPr>
        <w:pStyle w:val="ListParagraph"/>
        <w:numPr>
          <w:ilvl w:val="0"/>
          <w:numId w:val="10"/>
        </w:numPr>
        <w:spacing w:after="0"/>
        <w:ind w:left="360"/>
      </w:pPr>
      <w:r w:rsidRPr="00CF70E9">
        <w:t xml:space="preserve">The Advance Notice of Proposed Rulemaking was published in </w:t>
      </w:r>
      <w:r w:rsidR="00363714">
        <w:t xml:space="preserve">December </w:t>
      </w:r>
      <w:r w:rsidRPr="00CF70E9">
        <w:t>2011.</w:t>
      </w:r>
    </w:p>
    <w:p w14:paraId="5ED21444" w14:textId="2FF26B76" w:rsidR="00295E35" w:rsidRPr="00CF70E9" w:rsidRDefault="00295E35" w:rsidP="00DD18FF">
      <w:pPr>
        <w:pStyle w:val="ListParagraph"/>
        <w:numPr>
          <w:ilvl w:val="0"/>
          <w:numId w:val="10"/>
        </w:numPr>
        <w:spacing w:after="0"/>
        <w:ind w:left="360"/>
      </w:pPr>
      <w:r w:rsidRPr="00CF70E9">
        <w:t xml:space="preserve">Secretary </w:t>
      </w:r>
      <w:r w:rsidR="00363714">
        <w:t>Salazar</w:t>
      </w:r>
      <w:r w:rsidR="00363714" w:rsidRPr="00CF70E9">
        <w:t xml:space="preserve"> </w:t>
      </w:r>
      <w:r w:rsidRPr="00CF70E9">
        <w:t xml:space="preserve">signed </w:t>
      </w:r>
      <w:r w:rsidR="00363714">
        <w:t>the R</w:t>
      </w:r>
      <w:r w:rsidRPr="00CF70E9">
        <w:t xml:space="preserve">ecord of </w:t>
      </w:r>
      <w:r w:rsidR="00363714">
        <w:t>D</w:t>
      </w:r>
      <w:r w:rsidRPr="00CF70E9">
        <w:t xml:space="preserve">ecision for the </w:t>
      </w:r>
      <w:r w:rsidR="00363714">
        <w:t xml:space="preserve">Solar </w:t>
      </w:r>
      <w:r w:rsidRPr="00CF70E9">
        <w:t>Programmatic EIS, a foundation</w:t>
      </w:r>
      <w:r w:rsidR="00CD016F">
        <w:t>al</w:t>
      </w:r>
      <w:r w:rsidRPr="00CF70E9">
        <w:t xml:space="preserve"> document </w:t>
      </w:r>
      <w:r w:rsidR="00CD016F">
        <w:t>for</w:t>
      </w:r>
      <w:r w:rsidR="00CD016F" w:rsidRPr="00CF70E9">
        <w:t xml:space="preserve"> </w:t>
      </w:r>
      <w:r w:rsidRPr="00CF70E9">
        <w:t>the rule, in October 2012.  This became known as the Western Solar Energy Plan.</w:t>
      </w:r>
    </w:p>
    <w:p w14:paraId="38A164E2" w14:textId="0EBC6856" w:rsidR="00295E35" w:rsidRPr="00CF70E9" w:rsidRDefault="00295E35" w:rsidP="00DD18FF">
      <w:pPr>
        <w:pStyle w:val="ListParagraph"/>
        <w:numPr>
          <w:ilvl w:val="0"/>
          <w:numId w:val="10"/>
        </w:numPr>
        <w:spacing w:after="0"/>
        <w:ind w:left="360"/>
      </w:pPr>
      <w:r w:rsidRPr="00CF70E9">
        <w:t>T</w:t>
      </w:r>
      <w:r w:rsidR="0049439A" w:rsidRPr="00CF70E9">
        <w:t xml:space="preserve">he Proposed </w:t>
      </w:r>
      <w:r w:rsidRPr="00CF70E9">
        <w:t>Solar</w:t>
      </w:r>
      <w:r w:rsidR="00BC6A69">
        <w:t xml:space="preserve"> and Wind</w:t>
      </w:r>
      <w:r w:rsidRPr="00CF70E9">
        <w:t xml:space="preserve"> Rule was published September 30, 2014</w:t>
      </w:r>
      <w:r w:rsidR="00DD18FF">
        <w:t>,</w:t>
      </w:r>
      <w:r w:rsidRPr="00CF70E9">
        <w:t xml:space="preserve"> for </w:t>
      </w:r>
      <w:r w:rsidR="00CD016F">
        <w:t xml:space="preserve">a </w:t>
      </w:r>
      <w:r w:rsidRPr="00CF70E9">
        <w:t>60-day comment period.  The comm</w:t>
      </w:r>
      <w:r w:rsidR="00A94BB2" w:rsidRPr="00CF70E9">
        <w:t>ent period was extended 15 days, closing on Dec. 16, 2014.</w:t>
      </w:r>
    </w:p>
    <w:p w14:paraId="06031A24" w14:textId="0AB08009" w:rsidR="00295E35" w:rsidRPr="00CF70E9" w:rsidRDefault="0049439A" w:rsidP="00DD18FF">
      <w:pPr>
        <w:pStyle w:val="ListParagraph"/>
        <w:numPr>
          <w:ilvl w:val="0"/>
          <w:numId w:val="10"/>
        </w:numPr>
        <w:spacing w:after="0"/>
        <w:ind w:left="360"/>
      </w:pPr>
      <w:r w:rsidRPr="00CF70E9">
        <w:t xml:space="preserve">The BLM received at total of </w:t>
      </w:r>
      <w:r w:rsidR="00295E35" w:rsidRPr="00CF70E9">
        <w:t>3</w:t>
      </w:r>
      <w:r w:rsidR="00363714">
        <w:t>6</w:t>
      </w:r>
      <w:r w:rsidRPr="00CF70E9">
        <w:t xml:space="preserve"> </w:t>
      </w:r>
      <w:r w:rsidR="006F20CE">
        <w:t>comment letters</w:t>
      </w:r>
      <w:r w:rsidR="00DD18FF">
        <w:t xml:space="preserve"> and received other feedback during stakeholder engagement meetings.</w:t>
      </w:r>
    </w:p>
    <w:p w14:paraId="137D005A" w14:textId="09C3914E" w:rsidR="00C13A84" w:rsidRPr="00CF70E9" w:rsidRDefault="00C13A84" w:rsidP="00DD18FF">
      <w:pPr>
        <w:pStyle w:val="ListParagraph"/>
        <w:spacing w:after="0"/>
        <w:ind w:left="360"/>
      </w:pPr>
    </w:p>
    <w:sectPr w:rsidR="00C13A84" w:rsidRPr="00CF70E9" w:rsidSect="00E12C54">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855C7" w14:textId="77777777" w:rsidR="005B2551" w:rsidRDefault="005B2551" w:rsidP="00E12C54">
      <w:pPr>
        <w:spacing w:after="0" w:line="240" w:lineRule="auto"/>
      </w:pPr>
      <w:r>
        <w:separator/>
      </w:r>
    </w:p>
  </w:endnote>
  <w:endnote w:type="continuationSeparator" w:id="0">
    <w:p w14:paraId="5A8D7D42" w14:textId="77777777" w:rsidR="005B2551" w:rsidRDefault="005B2551" w:rsidP="00E12C54">
      <w:pPr>
        <w:spacing w:after="0" w:line="240" w:lineRule="auto"/>
      </w:pPr>
      <w:r>
        <w:continuationSeparator/>
      </w:r>
    </w:p>
  </w:endnote>
  <w:endnote w:type="continuationNotice" w:id="1">
    <w:p w14:paraId="276F0879" w14:textId="77777777" w:rsidR="005B2551" w:rsidRDefault="005B25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025796"/>
      <w:docPartObj>
        <w:docPartGallery w:val="Page Numbers (Bottom of Page)"/>
        <w:docPartUnique/>
      </w:docPartObj>
    </w:sdtPr>
    <w:sdtEndPr>
      <w:rPr>
        <w:noProof/>
      </w:rPr>
    </w:sdtEndPr>
    <w:sdtContent>
      <w:p w14:paraId="5579F7D6" w14:textId="77777777" w:rsidR="00E90AE0" w:rsidRDefault="00E90AE0">
        <w:pPr>
          <w:pStyle w:val="Footer"/>
          <w:jc w:val="center"/>
        </w:pPr>
        <w:r>
          <w:fldChar w:fldCharType="begin"/>
        </w:r>
        <w:r>
          <w:instrText xml:space="preserve"> PAGE   \* MERGEFORMAT </w:instrText>
        </w:r>
        <w:r>
          <w:fldChar w:fldCharType="separate"/>
        </w:r>
        <w:r w:rsidR="00112FEB">
          <w:rPr>
            <w:noProof/>
          </w:rPr>
          <w:t>5</w:t>
        </w:r>
        <w:r>
          <w:rPr>
            <w:noProof/>
          </w:rPr>
          <w:fldChar w:fldCharType="end"/>
        </w:r>
      </w:p>
    </w:sdtContent>
  </w:sdt>
  <w:p w14:paraId="4325C155" w14:textId="77777777" w:rsidR="00E90AE0" w:rsidRDefault="00E90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053432"/>
      <w:docPartObj>
        <w:docPartGallery w:val="Page Numbers (Bottom of Page)"/>
        <w:docPartUnique/>
      </w:docPartObj>
    </w:sdtPr>
    <w:sdtEndPr>
      <w:rPr>
        <w:noProof/>
      </w:rPr>
    </w:sdtEndPr>
    <w:sdtContent>
      <w:p w14:paraId="23386118" w14:textId="05F47D9E" w:rsidR="000B5F61" w:rsidRDefault="000B5F61">
        <w:pPr>
          <w:pStyle w:val="Footer"/>
          <w:jc w:val="center"/>
        </w:pPr>
        <w:r>
          <w:fldChar w:fldCharType="begin"/>
        </w:r>
        <w:r>
          <w:instrText xml:space="preserve"> PAGE   \* MERGEFORMAT </w:instrText>
        </w:r>
        <w:r>
          <w:fldChar w:fldCharType="separate"/>
        </w:r>
        <w:r w:rsidR="00112FEB">
          <w:rPr>
            <w:noProof/>
          </w:rPr>
          <w:t>1</w:t>
        </w:r>
        <w:r>
          <w:rPr>
            <w:noProof/>
          </w:rPr>
          <w:fldChar w:fldCharType="end"/>
        </w:r>
      </w:p>
    </w:sdtContent>
  </w:sdt>
  <w:p w14:paraId="247B249D" w14:textId="77777777" w:rsidR="000B5F61" w:rsidRDefault="000B5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C9BAF" w14:textId="77777777" w:rsidR="005B2551" w:rsidRDefault="005B2551" w:rsidP="00E12C54">
      <w:pPr>
        <w:spacing w:after="0" w:line="240" w:lineRule="auto"/>
      </w:pPr>
      <w:r>
        <w:separator/>
      </w:r>
    </w:p>
  </w:footnote>
  <w:footnote w:type="continuationSeparator" w:id="0">
    <w:p w14:paraId="074045F9" w14:textId="77777777" w:rsidR="005B2551" w:rsidRDefault="005B2551" w:rsidP="00E12C54">
      <w:pPr>
        <w:spacing w:after="0" w:line="240" w:lineRule="auto"/>
      </w:pPr>
      <w:r>
        <w:continuationSeparator/>
      </w:r>
    </w:p>
  </w:footnote>
  <w:footnote w:type="continuationNotice" w:id="1">
    <w:p w14:paraId="07D8EAA3" w14:textId="77777777" w:rsidR="005B2551" w:rsidRDefault="005B2551">
      <w:pPr>
        <w:spacing w:after="0" w:line="240" w:lineRule="auto"/>
      </w:pPr>
    </w:p>
  </w:footnote>
  <w:footnote w:id="2">
    <w:p w14:paraId="02418FCD" w14:textId="09F6CE05" w:rsidR="00513C95" w:rsidRPr="00513C95" w:rsidRDefault="00513C95">
      <w:pPr>
        <w:pStyle w:val="FootnoteText"/>
        <w:rPr>
          <w:rFonts w:ascii="Times New Roman" w:hAnsi="Times New Roman" w:cs="Times New Roman"/>
        </w:rPr>
      </w:pPr>
      <w:r w:rsidRPr="00513C95">
        <w:rPr>
          <w:rStyle w:val="FootnoteReference"/>
          <w:rFonts w:ascii="Times New Roman" w:hAnsi="Times New Roman" w:cs="Times New Roman"/>
        </w:rPr>
        <w:footnoteRef/>
      </w:r>
      <w:r w:rsidRPr="00513C95">
        <w:rPr>
          <w:rFonts w:ascii="Times New Roman" w:hAnsi="Times New Roman" w:cs="Times New Roman"/>
        </w:rPr>
        <w:t xml:space="preserve"> Grants and leases are both forms of rights-of-way that the BLM can issue to entities wishing to us the public lands for, among other things, renewable energy generation projects.  Under the rule, developments within DLAs will be authorized by leases and developments outside of DLAs will be authorized by grants. </w:t>
      </w:r>
    </w:p>
  </w:footnote>
  <w:footnote w:id="3">
    <w:p w14:paraId="708D40BE" w14:textId="414465F2" w:rsidR="002839F7" w:rsidRPr="002839F7" w:rsidRDefault="002839F7">
      <w:pPr>
        <w:pStyle w:val="FootnoteText"/>
        <w:rPr>
          <w:rFonts w:ascii="Times New Roman" w:hAnsi="Times New Roman" w:cs="Times New Roman"/>
        </w:rPr>
      </w:pPr>
      <w:r w:rsidRPr="002839F7">
        <w:rPr>
          <w:rStyle w:val="FootnoteReference"/>
          <w:rFonts w:ascii="Times New Roman" w:hAnsi="Times New Roman" w:cs="Times New Roman"/>
        </w:rPr>
        <w:footnoteRef/>
      </w:r>
      <w:r w:rsidRPr="002839F7">
        <w:rPr>
          <w:rFonts w:ascii="Times New Roman" w:hAnsi="Times New Roman" w:cs="Times New Roman"/>
        </w:rPr>
        <w:t xml:space="preserve"> </w:t>
      </w:r>
      <w:r w:rsidRPr="002839F7">
        <w:rPr>
          <w:rFonts w:ascii="Times New Roman" w:hAnsi="Times New Roman" w:cs="Times New Roman"/>
          <w:color w:val="222222"/>
        </w:rPr>
        <w:t>The $14.2 million</w:t>
      </w:r>
      <w:r>
        <w:rPr>
          <w:rFonts w:ascii="Times New Roman" w:hAnsi="Times New Roman" w:cs="Times New Roman"/>
          <w:color w:val="222222"/>
        </w:rPr>
        <w:t xml:space="preserve"> net reduction in</w:t>
      </w:r>
      <w:r w:rsidRPr="002839F7">
        <w:rPr>
          <w:rFonts w:ascii="Times New Roman" w:hAnsi="Times New Roman" w:cs="Times New Roman"/>
          <w:color w:val="222222"/>
        </w:rPr>
        <w:t xml:space="preserve"> annual cost</w:t>
      </w:r>
      <w:r>
        <w:rPr>
          <w:rFonts w:ascii="Times New Roman" w:hAnsi="Times New Roman" w:cs="Times New Roman"/>
          <w:color w:val="222222"/>
        </w:rPr>
        <w:t xml:space="preserve">s </w:t>
      </w:r>
      <w:r w:rsidRPr="002839F7">
        <w:rPr>
          <w:rFonts w:ascii="Times New Roman" w:hAnsi="Times New Roman" w:cs="Times New Roman"/>
          <w:color w:val="222222"/>
        </w:rPr>
        <w:t xml:space="preserve">results from a $19 million net reduction </w:t>
      </w:r>
      <w:r>
        <w:rPr>
          <w:rFonts w:ascii="Times New Roman" w:hAnsi="Times New Roman" w:cs="Times New Roman"/>
          <w:color w:val="222222"/>
        </w:rPr>
        <w:t xml:space="preserve">in </w:t>
      </w:r>
      <w:r w:rsidRPr="002839F7">
        <w:rPr>
          <w:rFonts w:ascii="Times New Roman" w:hAnsi="Times New Roman" w:cs="Times New Roman"/>
          <w:color w:val="222222"/>
        </w:rPr>
        <w:t>rent and fee</w:t>
      </w:r>
      <w:r>
        <w:rPr>
          <w:rFonts w:ascii="Times New Roman" w:hAnsi="Times New Roman" w:cs="Times New Roman"/>
          <w:color w:val="222222"/>
        </w:rPr>
        <w:t xml:space="preserve">s paid that is </w:t>
      </w:r>
      <w:r w:rsidRPr="002839F7">
        <w:rPr>
          <w:rFonts w:ascii="Times New Roman" w:hAnsi="Times New Roman" w:cs="Times New Roman"/>
          <w:color w:val="222222"/>
        </w:rPr>
        <w:t>partially offset by an estimated $4.8 million per year in</w:t>
      </w:r>
      <w:r w:rsidR="00BA5239" w:rsidRPr="002839F7">
        <w:rPr>
          <w:rFonts w:ascii="Times New Roman" w:hAnsi="Times New Roman" w:cs="Times New Roman"/>
          <w:color w:val="222222"/>
        </w:rPr>
        <w:t> bonus</w:t>
      </w:r>
      <w:r w:rsidRPr="002839F7">
        <w:rPr>
          <w:rFonts w:ascii="Times New Roman" w:hAnsi="Times New Roman" w:cs="Times New Roman"/>
          <w:color w:val="222222"/>
        </w:rPr>
        <w:t xml:space="preserve"> bid</w:t>
      </w:r>
      <w:r>
        <w:rPr>
          <w:rFonts w:ascii="Times New Roman" w:hAnsi="Times New Roman" w:cs="Times New Roman"/>
          <w:color w:val="222222"/>
        </w:rPr>
        <w:t xml:space="preserve">s received following competitive auctions and a net </w:t>
      </w:r>
      <w:r w:rsidRPr="002839F7">
        <w:rPr>
          <w:rFonts w:ascii="Times New Roman" w:hAnsi="Times New Roman" w:cs="Times New Roman"/>
          <w:color w:val="222222"/>
        </w:rPr>
        <w:t>$652,000</w:t>
      </w:r>
      <w:r>
        <w:rPr>
          <w:rFonts w:ascii="Times New Roman" w:hAnsi="Times New Roman" w:cs="Times New Roman"/>
          <w:color w:val="222222"/>
        </w:rPr>
        <w:t xml:space="preserve"> in new costs associated with other requirements</w:t>
      </w:r>
      <w:r w:rsidRPr="002839F7">
        <w:rPr>
          <w:rFonts w:ascii="Times New Roman" w:hAnsi="Times New Roman" w:cs="Times New Roman"/>
          <w:color w:val="222222"/>
        </w:rPr>
        <w:t xml:space="preserve"> ($1.6 million per year in cost increases, and $1 million per year in cost reductions)</w:t>
      </w:r>
      <w:r>
        <w:rPr>
          <w:rFonts w:ascii="Times New Roman" w:hAnsi="Times New Roman" w:cs="Times New Roman"/>
          <w:color w:val="222222"/>
        </w:rPr>
        <w:t xml:space="preserve">.  The latter are considered </w:t>
      </w:r>
      <w:r w:rsidRPr="002839F7">
        <w:rPr>
          <w:rFonts w:ascii="Times New Roman" w:hAnsi="Times New Roman" w:cs="Times New Roman"/>
          <w:color w:val="222222"/>
        </w:rPr>
        <w:t>transfer costs</w:t>
      </w:r>
      <w:r>
        <w:rPr>
          <w:rFonts w:ascii="Times New Roman" w:hAnsi="Times New Roman" w:cs="Times New Roman"/>
          <w:color w:val="222222"/>
        </w:rPr>
        <w:t xml:space="preserve">, and therefore are not considered to </w:t>
      </w:r>
      <w:r w:rsidR="00BA5239">
        <w:rPr>
          <w:rFonts w:ascii="Times New Roman" w:hAnsi="Times New Roman" w:cs="Times New Roman"/>
          <w:color w:val="222222"/>
        </w:rPr>
        <w:t>have a</w:t>
      </w:r>
      <w:r>
        <w:rPr>
          <w:rFonts w:ascii="Times New Roman" w:hAnsi="Times New Roman" w:cs="Times New Roman"/>
          <w:color w:val="222222"/>
        </w:rPr>
        <w:t xml:space="preserve"> </w:t>
      </w:r>
      <w:r w:rsidRPr="002839F7">
        <w:rPr>
          <w:rFonts w:ascii="Times New Roman" w:hAnsi="Times New Roman" w:cs="Times New Roman"/>
          <w:color w:val="222222"/>
        </w:rPr>
        <w:t>net economic impact.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03E"/>
    <w:multiLevelType w:val="hybridMultilevel"/>
    <w:tmpl w:val="7E6C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C4230"/>
    <w:multiLevelType w:val="hybridMultilevel"/>
    <w:tmpl w:val="B768C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875E4"/>
    <w:multiLevelType w:val="hybridMultilevel"/>
    <w:tmpl w:val="E004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20B0B"/>
    <w:multiLevelType w:val="hybridMultilevel"/>
    <w:tmpl w:val="F26E1F84"/>
    <w:lvl w:ilvl="0" w:tplc="04090001">
      <w:start w:val="1"/>
      <w:numFmt w:val="bullet"/>
      <w:lvlText w:val=""/>
      <w:lvlJc w:val="left"/>
      <w:pPr>
        <w:ind w:left="990" w:hanging="6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A4D64"/>
    <w:multiLevelType w:val="multilevel"/>
    <w:tmpl w:val="608064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04B639E"/>
    <w:multiLevelType w:val="hybridMultilevel"/>
    <w:tmpl w:val="E0B0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11558E"/>
    <w:multiLevelType w:val="hybridMultilevel"/>
    <w:tmpl w:val="E940E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3E1573D6"/>
    <w:multiLevelType w:val="hybridMultilevel"/>
    <w:tmpl w:val="36B6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6F7017"/>
    <w:multiLevelType w:val="hybridMultilevel"/>
    <w:tmpl w:val="09D8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E3467"/>
    <w:multiLevelType w:val="hybridMultilevel"/>
    <w:tmpl w:val="A4028BC0"/>
    <w:lvl w:ilvl="0" w:tplc="DAD247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167858"/>
    <w:multiLevelType w:val="hybridMultilevel"/>
    <w:tmpl w:val="676C0C68"/>
    <w:lvl w:ilvl="0" w:tplc="28941D0A">
      <w:start w:val="280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291A06"/>
    <w:multiLevelType w:val="hybridMultilevel"/>
    <w:tmpl w:val="D518AB42"/>
    <w:lvl w:ilvl="0" w:tplc="A7C00C1C">
      <w:start w:val="4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6D48FD"/>
    <w:multiLevelType w:val="hybridMultilevel"/>
    <w:tmpl w:val="B7A6F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782A64"/>
    <w:multiLevelType w:val="hybridMultilevel"/>
    <w:tmpl w:val="D348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387629"/>
    <w:multiLevelType w:val="hybridMultilevel"/>
    <w:tmpl w:val="EBA0FC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07027B"/>
    <w:multiLevelType w:val="hybridMultilevel"/>
    <w:tmpl w:val="9AB81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0FB2A50"/>
    <w:multiLevelType w:val="hybridMultilevel"/>
    <w:tmpl w:val="01B4B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8E1639"/>
    <w:multiLevelType w:val="hybridMultilevel"/>
    <w:tmpl w:val="5A74AFE8"/>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nsid w:val="7E902E8C"/>
    <w:multiLevelType w:val="hybridMultilevel"/>
    <w:tmpl w:val="AD10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1"/>
  </w:num>
  <w:num w:numId="4">
    <w:abstractNumId w:val="16"/>
  </w:num>
  <w:num w:numId="5">
    <w:abstractNumId w:val="7"/>
  </w:num>
  <w:num w:numId="6">
    <w:abstractNumId w:val="0"/>
  </w:num>
  <w:num w:numId="7">
    <w:abstractNumId w:val="5"/>
  </w:num>
  <w:num w:numId="8">
    <w:abstractNumId w:val="14"/>
  </w:num>
  <w:num w:numId="9">
    <w:abstractNumId w:val="12"/>
  </w:num>
  <w:num w:numId="10">
    <w:abstractNumId w:val="18"/>
  </w:num>
  <w:num w:numId="11">
    <w:abstractNumId w:val="2"/>
  </w:num>
  <w:num w:numId="12">
    <w:abstractNumId w:val="3"/>
  </w:num>
  <w:num w:numId="13">
    <w:abstractNumId w:val="15"/>
  </w:num>
  <w:num w:numId="14">
    <w:abstractNumId w:val="10"/>
  </w:num>
  <w:num w:numId="15">
    <w:abstractNumId w:val="6"/>
  </w:num>
  <w:num w:numId="16">
    <w:abstractNumId w:val="8"/>
  </w:num>
  <w:num w:numId="17">
    <w:abstractNumId w:val="1"/>
  </w:num>
  <w:num w:numId="18">
    <w:abstractNumId w:val="17"/>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ter, Amanda C">
    <w15:presenceInfo w15:providerId="AD" w15:userId="S-1-5-21-2907011200-4146745624-917563655-32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A84"/>
    <w:rsid w:val="00000C45"/>
    <w:rsid w:val="00004D4F"/>
    <w:rsid w:val="00017B34"/>
    <w:rsid w:val="00052565"/>
    <w:rsid w:val="0006024E"/>
    <w:rsid w:val="00074425"/>
    <w:rsid w:val="00086D23"/>
    <w:rsid w:val="000B5F61"/>
    <w:rsid w:val="000C0A3B"/>
    <w:rsid w:val="000C26D4"/>
    <w:rsid w:val="000D1038"/>
    <w:rsid w:val="000F0807"/>
    <w:rsid w:val="00103805"/>
    <w:rsid w:val="00112FEB"/>
    <w:rsid w:val="001450ED"/>
    <w:rsid w:val="0018458E"/>
    <w:rsid w:val="001A5401"/>
    <w:rsid w:val="001B5D8E"/>
    <w:rsid w:val="001D306B"/>
    <w:rsid w:val="001E3811"/>
    <w:rsid w:val="001F31CA"/>
    <w:rsid w:val="00201C2B"/>
    <w:rsid w:val="00234B8D"/>
    <w:rsid w:val="00245ACC"/>
    <w:rsid w:val="00274374"/>
    <w:rsid w:val="00282DFA"/>
    <w:rsid w:val="002835D3"/>
    <w:rsid w:val="002839F7"/>
    <w:rsid w:val="002931F5"/>
    <w:rsid w:val="00295E35"/>
    <w:rsid w:val="002A36AB"/>
    <w:rsid w:val="002C6095"/>
    <w:rsid w:val="002E33AF"/>
    <w:rsid w:val="002E5A51"/>
    <w:rsid w:val="002F500D"/>
    <w:rsid w:val="003043DA"/>
    <w:rsid w:val="003127BC"/>
    <w:rsid w:val="00314ECD"/>
    <w:rsid w:val="00315AE2"/>
    <w:rsid w:val="0033713E"/>
    <w:rsid w:val="00352269"/>
    <w:rsid w:val="00363714"/>
    <w:rsid w:val="003669AD"/>
    <w:rsid w:val="00371BE1"/>
    <w:rsid w:val="003B3CEE"/>
    <w:rsid w:val="003C5C0F"/>
    <w:rsid w:val="004123B0"/>
    <w:rsid w:val="00431956"/>
    <w:rsid w:val="00453F43"/>
    <w:rsid w:val="004638BC"/>
    <w:rsid w:val="0049439A"/>
    <w:rsid w:val="004D17C2"/>
    <w:rsid w:val="004D2542"/>
    <w:rsid w:val="004E2498"/>
    <w:rsid w:val="00513C95"/>
    <w:rsid w:val="00572E90"/>
    <w:rsid w:val="00581399"/>
    <w:rsid w:val="005A41F1"/>
    <w:rsid w:val="005A487C"/>
    <w:rsid w:val="005B2551"/>
    <w:rsid w:val="005C157E"/>
    <w:rsid w:val="005E1922"/>
    <w:rsid w:val="005E4176"/>
    <w:rsid w:val="00637990"/>
    <w:rsid w:val="0068068C"/>
    <w:rsid w:val="006815B5"/>
    <w:rsid w:val="006A46B7"/>
    <w:rsid w:val="006B2B6D"/>
    <w:rsid w:val="006F20CE"/>
    <w:rsid w:val="00714919"/>
    <w:rsid w:val="007230E4"/>
    <w:rsid w:val="00727FD4"/>
    <w:rsid w:val="007543F7"/>
    <w:rsid w:val="00765196"/>
    <w:rsid w:val="0078238F"/>
    <w:rsid w:val="007A3758"/>
    <w:rsid w:val="007C02AD"/>
    <w:rsid w:val="007C1692"/>
    <w:rsid w:val="007E06AE"/>
    <w:rsid w:val="007F2508"/>
    <w:rsid w:val="00814386"/>
    <w:rsid w:val="00820A86"/>
    <w:rsid w:val="008C1AE1"/>
    <w:rsid w:val="008E3F77"/>
    <w:rsid w:val="0096016B"/>
    <w:rsid w:val="00972BF7"/>
    <w:rsid w:val="00974672"/>
    <w:rsid w:val="009763F9"/>
    <w:rsid w:val="009C137D"/>
    <w:rsid w:val="009E3407"/>
    <w:rsid w:val="00A02169"/>
    <w:rsid w:val="00A13B59"/>
    <w:rsid w:val="00A27A6D"/>
    <w:rsid w:val="00A53552"/>
    <w:rsid w:val="00A63D03"/>
    <w:rsid w:val="00A7144F"/>
    <w:rsid w:val="00A80541"/>
    <w:rsid w:val="00A94BB2"/>
    <w:rsid w:val="00A96673"/>
    <w:rsid w:val="00A9707C"/>
    <w:rsid w:val="00AA7C8B"/>
    <w:rsid w:val="00AE4CE0"/>
    <w:rsid w:val="00AE5BB7"/>
    <w:rsid w:val="00B02626"/>
    <w:rsid w:val="00B03F1A"/>
    <w:rsid w:val="00B1107D"/>
    <w:rsid w:val="00B16DA4"/>
    <w:rsid w:val="00B30C5A"/>
    <w:rsid w:val="00B3296A"/>
    <w:rsid w:val="00B4711A"/>
    <w:rsid w:val="00B50925"/>
    <w:rsid w:val="00B56A2F"/>
    <w:rsid w:val="00B84114"/>
    <w:rsid w:val="00BA5239"/>
    <w:rsid w:val="00BC6A69"/>
    <w:rsid w:val="00BE35DB"/>
    <w:rsid w:val="00C071FB"/>
    <w:rsid w:val="00C11707"/>
    <w:rsid w:val="00C129EA"/>
    <w:rsid w:val="00C13A84"/>
    <w:rsid w:val="00C22F57"/>
    <w:rsid w:val="00C23C1E"/>
    <w:rsid w:val="00C24A0C"/>
    <w:rsid w:val="00C33F88"/>
    <w:rsid w:val="00C7008F"/>
    <w:rsid w:val="00C721D0"/>
    <w:rsid w:val="00C8317C"/>
    <w:rsid w:val="00C93586"/>
    <w:rsid w:val="00CD016F"/>
    <w:rsid w:val="00CD49A6"/>
    <w:rsid w:val="00CE0B36"/>
    <w:rsid w:val="00CE3296"/>
    <w:rsid w:val="00CF6A32"/>
    <w:rsid w:val="00CF70E9"/>
    <w:rsid w:val="00D40286"/>
    <w:rsid w:val="00D85F80"/>
    <w:rsid w:val="00DA2EC1"/>
    <w:rsid w:val="00DA7460"/>
    <w:rsid w:val="00DB60BF"/>
    <w:rsid w:val="00DD0999"/>
    <w:rsid w:val="00DD18FF"/>
    <w:rsid w:val="00DF7415"/>
    <w:rsid w:val="00DF7C00"/>
    <w:rsid w:val="00E02148"/>
    <w:rsid w:val="00E12C54"/>
    <w:rsid w:val="00E34429"/>
    <w:rsid w:val="00E429EB"/>
    <w:rsid w:val="00E47079"/>
    <w:rsid w:val="00E53501"/>
    <w:rsid w:val="00E56AA7"/>
    <w:rsid w:val="00E90AE0"/>
    <w:rsid w:val="00EA1D5B"/>
    <w:rsid w:val="00EE462E"/>
    <w:rsid w:val="00EF5150"/>
    <w:rsid w:val="00F00AD5"/>
    <w:rsid w:val="00F16000"/>
    <w:rsid w:val="00F22FB1"/>
    <w:rsid w:val="00F43A25"/>
    <w:rsid w:val="00F53EC6"/>
    <w:rsid w:val="00F815D0"/>
    <w:rsid w:val="00F86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72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Bullets,Bullet"/>
    <w:basedOn w:val="Normal"/>
    <w:link w:val="ListParagraphChar"/>
    <w:uiPriority w:val="34"/>
    <w:qFormat/>
    <w:rsid w:val="006815B5"/>
    <w:pPr>
      <w:spacing w:line="240" w:lineRule="auto"/>
      <w:ind w:left="720"/>
      <w:contextualSpacing/>
    </w:pPr>
    <w:rPr>
      <w:rFonts w:ascii="Times New Roman" w:eastAsia="Times New Roman" w:hAnsi="Times New Roman" w:cs="Times New Roman"/>
      <w:color w:val="000000"/>
      <w:sz w:val="24"/>
      <w:szCs w:val="24"/>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basedOn w:val="DefaultParagraphFont"/>
    <w:link w:val="ListParagraph"/>
    <w:uiPriority w:val="99"/>
    <w:rsid w:val="006815B5"/>
    <w:rPr>
      <w:rFonts w:ascii="Times New Roman" w:eastAsia="Times New Roman" w:hAnsi="Times New Roman" w:cs="Times New Roman"/>
      <w:color w:val="000000"/>
      <w:sz w:val="24"/>
      <w:szCs w:val="24"/>
    </w:rPr>
  </w:style>
  <w:style w:type="paragraph" w:styleId="Header">
    <w:name w:val="header"/>
    <w:basedOn w:val="Normal"/>
    <w:link w:val="HeaderChar"/>
    <w:unhideWhenUsed/>
    <w:rsid w:val="00E12C54"/>
    <w:pPr>
      <w:tabs>
        <w:tab w:val="center" w:pos="4680"/>
        <w:tab w:val="right" w:pos="9360"/>
      </w:tabs>
      <w:spacing w:after="0" w:line="240" w:lineRule="auto"/>
    </w:pPr>
  </w:style>
  <w:style w:type="character" w:customStyle="1" w:styleId="HeaderChar">
    <w:name w:val="Header Char"/>
    <w:basedOn w:val="DefaultParagraphFont"/>
    <w:link w:val="Header"/>
    <w:rsid w:val="00E12C54"/>
  </w:style>
  <w:style w:type="paragraph" w:styleId="Footer">
    <w:name w:val="footer"/>
    <w:basedOn w:val="Normal"/>
    <w:link w:val="FooterChar"/>
    <w:uiPriority w:val="99"/>
    <w:unhideWhenUsed/>
    <w:rsid w:val="00E12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54"/>
  </w:style>
  <w:style w:type="paragraph" w:styleId="BalloonText">
    <w:name w:val="Balloon Text"/>
    <w:basedOn w:val="Normal"/>
    <w:link w:val="BalloonTextChar"/>
    <w:uiPriority w:val="99"/>
    <w:semiHidden/>
    <w:unhideWhenUsed/>
    <w:rsid w:val="0049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9A"/>
    <w:rPr>
      <w:rFonts w:ascii="Tahoma" w:hAnsi="Tahoma" w:cs="Tahoma"/>
      <w:sz w:val="16"/>
      <w:szCs w:val="16"/>
    </w:rPr>
  </w:style>
  <w:style w:type="character" w:styleId="CommentReference">
    <w:name w:val="annotation reference"/>
    <w:basedOn w:val="DefaultParagraphFont"/>
    <w:uiPriority w:val="99"/>
    <w:semiHidden/>
    <w:unhideWhenUsed/>
    <w:rsid w:val="003043DA"/>
    <w:rPr>
      <w:sz w:val="16"/>
      <w:szCs w:val="16"/>
    </w:rPr>
  </w:style>
  <w:style w:type="paragraph" w:styleId="CommentText">
    <w:name w:val="annotation text"/>
    <w:basedOn w:val="Normal"/>
    <w:link w:val="CommentTextChar"/>
    <w:uiPriority w:val="99"/>
    <w:semiHidden/>
    <w:unhideWhenUsed/>
    <w:rsid w:val="003043DA"/>
    <w:pPr>
      <w:spacing w:line="240" w:lineRule="auto"/>
    </w:pPr>
    <w:rPr>
      <w:sz w:val="20"/>
      <w:szCs w:val="20"/>
    </w:rPr>
  </w:style>
  <w:style w:type="character" w:customStyle="1" w:styleId="CommentTextChar">
    <w:name w:val="Comment Text Char"/>
    <w:basedOn w:val="DefaultParagraphFont"/>
    <w:link w:val="CommentText"/>
    <w:uiPriority w:val="99"/>
    <w:semiHidden/>
    <w:rsid w:val="003043DA"/>
    <w:rPr>
      <w:sz w:val="20"/>
      <w:szCs w:val="20"/>
    </w:rPr>
  </w:style>
  <w:style w:type="paragraph" w:styleId="CommentSubject">
    <w:name w:val="annotation subject"/>
    <w:basedOn w:val="CommentText"/>
    <w:next w:val="CommentText"/>
    <w:link w:val="CommentSubjectChar"/>
    <w:uiPriority w:val="99"/>
    <w:semiHidden/>
    <w:unhideWhenUsed/>
    <w:rsid w:val="003043DA"/>
    <w:rPr>
      <w:b/>
      <w:bCs/>
    </w:rPr>
  </w:style>
  <w:style w:type="character" w:customStyle="1" w:styleId="CommentSubjectChar">
    <w:name w:val="Comment Subject Char"/>
    <w:basedOn w:val="CommentTextChar"/>
    <w:link w:val="CommentSubject"/>
    <w:uiPriority w:val="99"/>
    <w:semiHidden/>
    <w:rsid w:val="003043DA"/>
    <w:rPr>
      <w:b/>
      <w:bCs/>
      <w:sz w:val="20"/>
      <w:szCs w:val="20"/>
    </w:rPr>
  </w:style>
  <w:style w:type="paragraph" w:styleId="Subtitle">
    <w:name w:val="Subtitle"/>
    <w:basedOn w:val="Normal"/>
    <w:next w:val="Normal"/>
    <w:link w:val="SubtitleChar"/>
    <w:rsid w:val="009763F9"/>
    <w:pPr>
      <w:keepNext/>
      <w:keepLines/>
      <w:spacing w:before="360" w:after="80" w:line="240" w:lineRule="auto"/>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763F9"/>
    <w:rPr>
      <w:rFonts w:ascii="Georgia" w:eastAsia="Georgia" w:hAnsi="Georgia" w:cs="Georgia"/>
      <w:i/>
      <w:color w:val="666666"/>
      <w:sz w:val="48"/>
      <w:szCs w:val="48"/>
    </w:rPr>
  </w:style>
  <w:style w:type="character" w:customStyle="1" w:styleId="apple-converted-space">
    <w:name w:val="apple-converted-space"/>
    <w:basedOn w:val="DefaultParagraphFont"/>
    <w:rsid w:val="00B56A2F"/>
  </w:style>
  <w:style w:type="paragraph" w:customStyle="1" w:styleId="m-6874414960891946411gmail-m-2099376020152519304gmail-m8300585988389640637gmail-msonospacing">
    <w:name w:val="m_-6874414960891946411gmail-m_-2099376020152519304gmail-m_8300585988389640637gmail-msonospacing"/>
    <w:basedOn w:val="Normal"/>
    <w:rsid w:val="009C137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32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6DA4"/>
    <w:pPr>
      <w:spacing w:after="0" w:line="240" w:lineRule="auto"/>
    </w:pPr>
  </w:style>
  <w:style w:type="paragraph" w:styleId="FootnoteText">
    <w:name w:val="footnote text"/>
    <w:basedOn w:val="Normal"/>
    <w:link w:val="FootnoteTextChar"/>
    <w:uiPriority w:val="99"/>
    <w:semiHidden/>
    <w:unhideWhenUsed/>
    <w:rsid w:val="00283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9F7"/>
    <w:rPr>
      <w:sz w:val="20"/>
      <w:szCs w:val="20"/>
    </w:rPr>
  </w:style>
  <w:style w:type="character" w:styleId="FootnoteReference">
    <w:name w:val="footnote reference"/>
    <w:basedOn w:val="DefaultParagraphFont"/>
    <w:uiPriority w:val="99"/>
    <w:semiHidden/>
    <w:unhideWhenUsed/>
    <w:rsid w:val="002839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Bullets,Bullet"/>
    <w:basedOn w:val="Normal"/>
    <w:link w:val="ListParagraphChar"/>
    <w:uiPriority w:val="34"/>
    <w:qFormat/>
    <w:rsid w:val="006815B5"/>
    <w:pPr>
      <w:spacing w:line="240" w:lineRule="auto"/>
      <w:ind w:left="720"/>
      <w:contextualSpacing/>
    </w:pPr>
    <w:rPr>
      <w:rFonts w:ascii="Times New Roman" w:eastAsia="Times New Roman" w:hAnsi="Times New Roman" w:cs="Times New Roman"/>
      <w:color w:val="000000"/>
      <w:sz w:val="24"/>
      <w:szCs w:val="24"/>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basedOn w:val="DefaultParagraphFont"/>
    <w:link w:val="ListParagraph"/>
    <w:uiPriority w:val="99"/>
    <w:rsid w:val="006815B5"/>
    <w:rPr>
      <w:rFonts w:ascii="Times New Roman" w:eastAsia="Times New Roman" w:hAnsi="Times New Roman" w:cs="Times New Roman"/>
      <w:color w:val="000000"/>
      <w:sz w:val="24"/>
      <w:szCs w:val="24"/>
    </w:rPr>
  </w:style>
  <w:style w:type="paragraph" w:styleId="Header">
    <w:name w:val="header"/>
    <w:basedOn w:val="Normal"/>
    <w:link w:val="HeaderChar"/>
    <w:unhideWhenUsed/>
    <w:rsid w:val="00E12C54"/>
    <w:pPr>
      <w:tabs>
        <w:tab w:val="center" w:pos="4680"/>
        <w:tab w:val="right" w:pos="9360"/>
      </w:tabs>
      <w:spacing w:after="0" w:line="240" w:lineRule="auto"/>
    </w:pPr>
  </w:style>
  <w:style w:type="character" w:customStyle="1" w:styleId="HeaderChar">
    <w:name w:val="Header Char"/>
    <w:basedOn w:val="DefaultParagraphFont"/>
    <w:link w:val="Header"/>
    <w:rsid w:val="00E12C54"/>
  </w:style>
  <w:style w:type="paragraph" w:styleId="Footer">
    <w:name w:val="footer"/>
    <w:basedOn w:val="Normal"/>
    <w:link w:val="FooterChar"/>
    <w:uiPriority w:val="99"/>
    <w:unhideWhenUsed/>
    <w:rsid w:val="00E12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54"/>
  </w:style>
  <w:style w:type="paragraph" w:styleId="BalloonText">
    <w:name w:val="Balloon Text"/>
    <w:basedOn w:val="Normal"/>
    <w:link w:val="BalloonTextChar"/>
    <w:uiPriority w:val="99"/>
    <w:semiHidden/>
    <w:unhideWhenUsed/>
    <w:rsid w:val="0049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9A"/>
    <w:rPr>
      <w:rFonts w:ascii="Tahoma" w:hAnsi="Tahoma" w:cs="Tahoma"/>
      <w:sz w:val="16"/>
      <w:szCs w:val="16"/>
    </w:rPr>
  </w:style>
  <w:style w:type="character" w:styleId="CommentReference">
    <w:name w:val="annotation reference"/>
    <w:basedOn w:val="DefaultParagraphFont"/>
    <w:uiPriority w:val="99"/>
    <w:semiHidden/>
    <w:unhideWhenUsed/>
    <w:rsid w:val="003043DA"/>
    <w:rPr>
      <w:sz w:val="16"/>
      <w:szCs w:val="16"/>
    </w:rPr>
  </w:style>
  <w:style w:type="paragraph" w:styleId="CommentText">
    <w:name w:val="annotation text"/>
    <w:basedOn w:val="Normal"/>
    <w:link w:val="CommentTextChar"/>
    <w:uiPriority w:val="99"/>
    <w:semiHidden/>
    <w:unhideWhenUsed/>
    <w:rsid w:val="003043DA"/>
    <w:pPr>
      <w:spacing w:line="240" w:lineRule="auto"/>
    </w:pPr>
    <w:rPr>
      <w:sz w:val="20"/>
      <w:szCs w:val="20"/>
    </w:rPr>
  </w:style>
  <w:style w:type="character" w:customStyle="1" w:styleId="CommentTextChar">
    <w:name w:val="Comment Text Char"/>
    <w:basedOn w:val="DefaultParagraphFont"/>
    <w:link w:val="CommentText"/>
    <w:uiPriority w:val="99"/>
    <w:semiHidden/>
    <w:rsid w:val="003043DA"/>
    <w:rPr>
      <w:sz w:val="20"/>
      <w:szCs w:val="20"/>
    </w:rPr>
  </w:style>
  <w:style w:type="paragraph" w:styleId="CommentSubject">
    <w:name w:val="annotation subject"/>
    <w:basedOn w:val="CommentText"/>
    <w:next w:val="CommentText"/>
    <w:link w:val="CommentSubjectChar"/>
    <w:uiPriority w:val="99"/>
    <w:semiHidden/>
    <w:unhideWhenUsed/>
    <w:rsid w:val="003043DA"/>
    <w:rPr>
      <w:b/>
      <w:bCs/>
    </w:rPr>
  </w:style>
  <w:style w:type="character" w:customStyle="1" w:styleId="CommentSubjectChar">
    <w:name w:val="Comment Subject Char"/>
    <w:basedOn w:val="CommentTextChar"/>
    <w:link w:val="CommentSubject"/>
    <w:uiPriority w:val="99"/>
    <w:semiHidden/>
    <w:rsid w:val="003043DA"/>
    <w:rPr>
      <w:b/>
      <w:bCs/>
      <w:sz w:val="20"/>
      <w:szCs w:val="20"/>
    </w:rPr>
  </w:style>
  <w:style w:type="paragraph" w:styleId="Subtitle">
    <w:name w:val="Subtitle"/>
    <w:basedOn w:val="Normal"/>
    <w:next w:val="Normal"/>
    <w:link w:val="SubtitleChar"/>
    <w:rsid w:val="009763F9"/>
    <w:pPr>
      <w:keepNext/>
      <w:keepLines/>
      <w:spacing w:before="360" w:after="80" w:line="240" w:lineRule="auto"/>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763F9"/>
    <w:rPr>
      <w:rFonts w:ascii="Georgia" w:eastAsia="Georgia" w:hAnsi="Georgia" w:cs="Georgia"/>
      <w:i/>
      <w:color w:val="666666"/>
      <w:sz w:val="48"/>
      <w:szCs w:val="48"/>
    </w:rPr>
  </w:style>
  <w:style w:type="character" w:customStyle="1" w:styleId="apple-converted-space">
    <w:name w:val="apple-converted-space"/>
    <w:basedOn w:val="DefaultParagraphFont"/>
    <w:rsid w:val="00B56A2F"/>
  </w:style>
  <w:style w:type="paragraph" w:customStyle="1" w:styleId="m-6874414960891946411gmail-m-2099376020152519304gmail-m8300585988389640637gmail-msonospacing">
    <w:name w:val="m_-6874414960891946411gmail-m_-2099376020152519304gmail-m_8300585988389640637gmail-msonospacing"/>
    <w:basedOn w:val="Normal"/>
    <w:rsid w:val="009C137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32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6DA4"/>
    <w:pPr>
      <w:spacing w:after="0" w:line="240" w:lineRule="auto"/>
    </w:pPr>
  </w:style>
  <w:style w:type="paragraph" w:styleId="FootnoteText">
    <w:name w:val="footnote text"/>
    <w:basedOn w:val="Normal"/>
    <w:link w:val="FootnoteTextChar"/>
    <w:uiPriority w:val="99"/>
    <w:semiHidden/>
    <w:unhideWhenUsed/>
    <w:rsid w:val="00283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9F7"/>
    <w:rPr>
      <w:sz w:val="20"/>
      <w:szCs w:val="20"/>
    </w:rPr>
  </w:style>
  <w:style w:type="character" w:styleId="FootnoteReference">
    <w:name w:val="footnote reference"/>
    <w:basedOn w:val="DefaultParagraphFont"/>
    <w:uiPriority w:val="99"/>
    <w:semiHidden/>
    <w:unhideWhenUsed/>
    <w:rsid w:val="002839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1071">
      <w:bodyDiv w:val="1"/>
      <w:marLeft w:val="0"/>
      <w:marRight w:val="0"/>
      <w:marTop w:val="0"/>
      <w:marBottom w:val="0"/>
      <w:divBdr>
        <w:top w:val="none" w:sz="0" w:space="0" w:color="auto"/>
        <w:left w:val="none" w:sz="0" w:space="0" w:color="auto"/>
        <w:bottom w:val="none" w:sz="0" w:space="0" w:color="auto"/>
        <w:right w:val="none" w:sz="0" w:space="0" w:color="auto"/>
      </w:divBdr>
      <w:divsChild>
        <w:div w:id="1971857289">
          <w:marLeft w:val="0"/>
          <w:marRight w:val="0"/>
          <w:marTop w:val="0"/>
          <w:marBottom w:val="0"/>
          <w:divBdr>
            <w:top w:val="none" w:sz="0" w:space="0" w:color="auto"/>
            <w:left w:val="none" w:sz="0" w:space="0" w:color="auto"/>
            <w:bottom w:val="none" w:sz="0" w:space="0" w:color="auto"/>
            <w:right w:val="none" w:sz="0" w:space="0" w:color="auto"/>
          </w:divBdr>
        </w:div>
        <w:div w:id="1120369906">
          <w:marLeft w:val="0"/>
          <w:marRight w:val="0"/>
          <w:marTop w:val="0"/>
          <w:marBottom w:val="0"/>
          <w:divBdr>
            <w:top w:val="none" w:sz="0" w:space="0" w:color="auto"/>
            <w:left w:val="none" w:sz="0" w:space="0" w:color="auto"/>
            <w:bottom w:val="none" w:sz="0" w:space="0" w:color="auto"/>
            <w:right w:val="none" w:sz="0" w:space="0" w:color="auto"/>
          </w:divBdr>
        </w:div>
        <w:div w:id="1813672818">
          <w:marLeft w:val="0"/>
          <w:marRight w:val="0"/>
          <w:marTop w:val="0"/>
          <w:marBottom w:val="0"/>
          <w:divBdr>
            <w:top w:val="none" w:sz="0" w:space="0" w:color="auto"/>
            <w:left w:val="none" w:sz="0" w:space="0" w:color="auto"/>
            <w:bottom w:val="none" w:sz="0" w:space="0" w:color="auto"/>
            <w:right w:val="none" w:sz="0" w:space="0" w:color="auto"/>
          </w:divBdr>
        </w:div>
      </w:divsChild>
    </w:div>
    <w:div w:id="383994214">
      <w:bodyDiv w:val="1"/>
      <w:marLeft w:val="0"/>
      <w:marRight w:val="0"/>
      <w:marTop w:val="0"/>
      <w:marBottom w:val="0"/>
      <w:divBdr>
        <w:top w:val="none" w:sz="0" w:space="0" w:color="auto"/>
        <w:left w:val="none" w:sz="0" w:space="0" w:color="auto"/>
        <w:bottom w:val="none" w:sz="0" w:space="0" w:color="auto"/>
        <w:right w:val="none" w:sz="0" w:space="0" w:color="auto"/>
      </w:divBdr>
      <w:divsChild>
        <w:div w:id="784077520">
          <w:marLeft w:val="0"/>
          <w:marRight w:val="0"/>
          <w:marTop w:val="0"/>
          <w:marBottom w:val="0"/>
          <w:divBdr>
            <w:top w:val="none" w:sz="0" w:space="0" w:color="auto"/>
            <w:left w:val="none" w:sz="0" w:space="0" w:color="auto"/>
            <w:bottom w:val="none" w:sz="0" w:space="0" w:color="auto"/>
            <w:right w:val="none" w:sz="0" w:space="0" w:color="auto"/>
          </w:divBdr>
        </w:div>
        <w:div w:id="1179268930">
          <w:marLeft w:val="0"/>
          <w:marRight w:val="0"/>
          <w:marTop w:val="0"/>
          <w:marBottom w:val="0"/>
          <w:divBdr>
            <w:top w:val="none" w:sz="0" w:space="0" w:color="auto"/>
            <w:left w:val="none" w:sz="0" w:space="0" w:color="auto"/>
            <w:bottom w:val="none" w:sz="0" w:space="0" w:color="auto"/>
            <w:right w:val="none" w:sz="0" w:space="0" w:color="auto"/>
          </w:divBdr>
        </w:div>
        <w:div w:id="137308242">
          <w:marLeft w:val="0"/>
          <w:marRight w:val="0"/>
          <w:marTop w:val="0"/>
          <w:marBottom w:val="0"/>
          <w:divBdr>
            <w:top w:val="none" w:sz="0" w:space="0" w:color="auto"/>
            <w:left w:val="none" w:sz="0" w:space="0" w:color="auto"/>
            <w:bottom w:val="none" w:sz="0" w:space="0" w:color="auto"/>
            <w:right w:val="none" w:sz="0" w:space="0" w:color="auto"/>
          </w:divBdr>
        </w:div>
        <w:div w:id="1940093865">
          <w:marLeft w:val="0"/>
          <w:marRight w:val="0"/>
          <w:marTop w:val="0"/>
          <w:marBottom w:val="0"/>
          <w:divBdr>
            <w:top w:val="none" w:sz="0" w:space="0" w:color="auto"/>
            <w:left w:val="none" w:sz="0" w:space="0" w:color="auto"/>
            <w:bottom w:val="none" w:sz="0" w:space="0" w:color="auto"/>
            <w:right w:val="none" w:sz="0" w:space="0" w:color="auto"/>
          </w:divBdr>
        </w:div>
        <w:div w:id="1062605376">
          <w:marLeft w:val="0"/>
          <w:marRight w:val="0"/>
          <w:marTop w:val="0"/>
          <w:marBottom w:val="0"/>
          <w:divBdr>
            <w:top w:val="none" w:sz="0" w:space="0" w:color="auto"/>
            <w:left w:val="none" w:sz="0" w:space="0" w:color="auto"/>
            <w:bottom w:val="none" w:sz="0" w:space="0" w:color="auto"/>
            <w:right w:val="none" w:sz="0" w:space="0" w:color="auto"/>
          </w:divBdr>
        </w:div>
        <w:div w:id="963535551">
          <w:marLeft w:val="0"/>
          <w:marRight w:val="0"/>
          <w:marTop w:val="0"/>
          <w:marBottom w:val="0"/>
          <w:divBdr>
            <w:top w:val="none" w:sz="0" w:space="0" w:color="auto"/>
            <w:left w:val="none" w:sz="0" w:space="0" w:color="auto"/>
            <w:bottom w:val="none" w:sz="0" w:space="0" w:color="auto"/>
            <w:right w:val="none" w:sz="0" w:space="0" w:color="auto"/>
          </w:divBdr>
        </w:div>
        <w:div w:id="1784415861">
          <w:marLeft w:val="0"/>
          <w:marRight w:val="0"/>
          <w:marTop w:val="0"/>
          <w:marBottom w:val="0"/>
          <w:divBdr>
            <w:top w:val="none" w:sz="0" w:space="0" w:color="auto"/>
            <w:left w:val="none" w:sz="0" w:space="0" w:color="auto"/>
            <w:bottom w:val="none" w:sz="0" w:space="0" w:color="auto"/>
            <w:right w:val="none" w:sz="0" w:space="0" w:color="auto"/>
          </w:divBdr>
        </w:div>
        <w:div w:id="1376662395">
          <w:marLeft w:val="0"/>
          <w:marRight w:val="0"/>
          <w:marTop w:val="0"/>
          <w:marBottom w:val="0"/>
          <w:divBdr>
            <w:top w:val="none" w:sz="0" w:space="0" w:color="auto"/>
            <w:left w:val="none" w:sz="0" w:space="0" w:color="auto"/>
            <w:bottom w:val="none" w:sz="0" w:space="0" w:color="auto"/>
            <w:right w:val="none" w:sz="0" w:space="0" w:color="auto"/>
          </w:divBdr>
        </w:div>
      </w:divsChild>
    </w:div>
    <w:div w:id="777606000">
      <w:bodyDiv w:val="1"/>
      <w:marLeft w:val="0"/>
      <w:marRight w:val="0"/>
      <w:marTop w:val="0"/>
      <w:marBottom w:val="0"/>
      <w:divBdr>
        <w:top w:val="none" w:sz="0" w:space="0" w:color="auto"/>
        <w:left w:val="none" w:sz="0" w:space="0" w:color="auto"/>
        <w:bottom w:val="none" w:sz="0" w:space="0" w:color="auto"/>
        <w:right w:val="none" w:sz="0" w:space="0" w:color="auto"/>
      </w:divBdr>
    </w:div>
    <w:div w:id="1022124222">
      <w:bodyDiv w:val="1"/>
      <w:marLeft w:val="0"/>
      <w:marRight w:val="0"/>
      <w:marTop w:val="0"/>
      <w:marBottom w:val="0"/>
      <w:divBdr>
        <w:top w:val="none" w:sz="0" w:space="0" w:color="auto"/>
        <w:left w:val="none" w:sz="0" w:space="0" w:color="auto"/>
        <w:bottom w:val="none" w:sz="0" w:space="0" w:color="auto"/>
        <w:right w:val="none" w:sz="0" w:space="0" w:color="auto"/>
      </w:divBdr>
    </w:div>
    <w:div w:id="1072586211">
      <w:bodyDiv w:val="1"/>
      <w:marLeft w:val="0"/>
      <w:marRight w:val="0"/>
      <w:marTop w:val="0"/>
      <w:marBottom w:val="0"/>
      <w:divBdr>
        <w:top w:val="none" w:sz="0" w:space="0" w:color="auto"/>
        <w:left w:val="none" w:sz="0" w:space="0" w:color="auto"/>
        <w:bottom w:val="none" w:sz="0" w:space="0" w:color="auto"/>
        <w:right w:val="none" w:sz="0" w:space="0" w:color="auto"/>
      </w:divBdr>
    </w:div>
    <w:div w:id="1634292731">
      <w:bodyDiv w:val="1"/>
      <w:marLeft w:val="0"/>
      <w:marRight w:val="0"/>
      <w:marTop w:val="0"/>
      <w:marBottom w:val="0"/>
      <w:divBdr>
        <w:top w:val="none" w:sz="0" w:space="0" w:color="auto"/>
        <w:left w:val="none" w:sz="0" w:space="0" w:color="auto"/>
        <w:bottom w:val="none" w:sz="0" w:space="0" w:color="auto"/>
        <w:right w:val="none" w:sz="0" w:space="0" w:color="auto"/>
      </w:divBdr>
    </w:div>
    <w:div w:id="164115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65D1D-FC67-48FD-9D1B-E2E7CEE7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 Beverly S</dc:creator>
  <cp:lastModifiedBy>Krauss, Jeff</cp:lastModifiedBy>
  <cp:revision>2</cp:revision>
  <cp:lastPrinted>2016-11-08T18:42:00Z</cp:lastPrinted>
  <dcterms:created xsi:type="dcterms:W3CDTF">2016-11-10T15:31:00Z</dcterms:created>
  <dcterms:modified xsi:type="dcterms:W3CDTF">2016-11-10T15:31:00Z</dcterms:modified>
</cp:coreProperties>
</file>