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661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1710"/>
        <w:gridCol w:w="2070"/>
        <w:gridCol w:w="3960"/>
        <w:gridCol w:w="3060"/>
        <w:gridCol w:w="590"/>
        <w:gridCol w:w="661"/>
        <w:gridCol w:w="554"/>
        <w:gridCol w:w="661"/>
        <w:gridCol w:w="536"/>
        <w:gridCol w:w="554"/>
        <w:gridCol w:w="554"/>
        <w:gridCol w:w="554"/>
        <w:gridCol w:w="554"/>
        <w:gridCol w:w="545"/>
      </w:tblGrid>
      <w:tr w:rsidR="00B31AAB" w:rsidRPr="00B31AAB" w:rsidTr="00155B40">
        <w:trPr>
          <w:trHeight w:val="1052"/>
          <w:jc w:val="center"/>
        </w:trPr>
        <w:tc>
          <w:tcPr>
            <w:tcW w:w="1098" w:type="dxa"/>
            <w:shd w:val="clear" w:color="auto" w:fill="D9D9D9" w:themeFill="background1" w:themeFillShade="D9"/>
            <w:noWrap/>
            <w:vAlign w:val="center"/>
            <w:hideMark/>
          </w:tcPr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0" w:name="RANGE!A1:O83"/>
            <w:bookmarkStart w:id="1" w:name="_GoBack"/>
            <w:bookmarkEnd w:id="1"/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Taxon</w:t>
            </w:r>
            <w:bookmarkEnd w:id="0"/>
          </w:p>
        </w:tc>
        <w:tc>
          <w:tcPr>
            <w:tcW w:w="1710" w:type="dxa"/>
            <w:shd w:val="clear" w:color="auto" w:fill="D9D9D9" w:themeFill="background1" w:themeFillShade="D9"/>
            <w:vAlign w:val="center"/>
            <w:hideMark/>
          </w:tcPr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Species Common Name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Scientific Name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  <w:hideMark/>
          </w:tcPr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Habitat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  <w:hideMark/>
          </w:tcPr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Designation and Ranking of others:  WY Natural Heritage Program; Forest Service (FS) Regions 2 and 4; Wyoming Game and Fish</w:t>
            </w:r>
          </w:p>
        </w:tc>
        <w:tc>
          <w:tcPr>
            <w:tcW w:w="5763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Occurrence by BLM Field Office</w:t>
            </w: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1898" w:type="dxa"/>
            <w:gridSpan w:val="5"/>
            <w:noWrap/>
            <w:vAlign w:val="center"/>
            <w:hideMark/>
          </w:tcPr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WFO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CYFO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RFO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RSFO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LFO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CFO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BFO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NFO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KFO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PFO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Mammal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Bat, Spotted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Euderma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maculatum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Cliffs over perennial water, basin-prairie shrub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G4/S3, FSR2, FSR4, NSS3,  ID, CO, UT, MT, OR/WA, AZ, CA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Mammal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Bat, Townsend’s Big-eared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Corynorhinus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townsendii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Forests, basin-prairie shrub, caves and mines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G3/S2, N3N4, FSR2, TBNG, FSR4, NSS2, ID, CO, UT, MT, OR/WA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67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Mammal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Rabbit, Pygmy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Brachylagus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idahoensis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Basin-prairie and riparian shrub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G4/S1, NSS3, ID, MT, OR/WA, CA, UT, IUCN LC, Endangered in Washington State only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Mammal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Prairie Dog, White-tailed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Cynomys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leucurus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Basin-prairie shrub, grasslands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G4/S3, NSS3, CO, MT (Petitioned 7/11/02)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67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Mammal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Prairie Dog, Black-tailed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Cynomys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ludovicianus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Short-grass prairie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G4/S2, NSS3, FSR2, TBNG, 12-month finding as not warranted in 2009; SSL designation by CO, AZ, MT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Mammal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Pocket Gopher, Wyoming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Thomomys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clusius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Meadows with loose soil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G2/S2, NSS3, FSR2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Mammal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Pocket Gopher, Idaho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Thomomys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idahoensis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Shallow stony soils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G4/S2, NSS3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67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Mammal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Fox, Swift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Vulpes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velox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Grasslands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G3/S2, FSR2, SSL designation in MT, CO (Removed from Federal Candidate list 01/08/01)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Mammal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Bear, Grizzly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Ursus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arctos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horribilis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Forests, forest openings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G4/S1, NSS3, FSR2, FSR4, MT (T&amp;E)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Mammal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Preble's Meadow Jumping Mouse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Zapus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hudsonius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preblei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Heavily vegetated, shrub-dominated riparian (streamside) zones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G5/T2/S1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Mammal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Bat, Northern long-eared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Myotis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septentriolalis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Forests, hibernates in caves and abandoned mines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G4/SNR, NSS3, FS</w:t>
            </w:r>
            <w:proofErr w:type="gram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?,</w:t>
            </w:r>
            <w:proofErr w:type="gramEnd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 WGFD?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Mammal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Mouse, Canyon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Peromyscus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crinitus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Rocky cliffs in arid to semi-arid climates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G5/S1, SSC3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Mammal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Wolf, Gray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Canis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lupus</w:t>
            </w:r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Generalists - tundra, woodlands, forests, grasslands, deserts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G4/S1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Mammal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Mouse, Pinyon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3B3B3B"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color w:val="3B3B3B"/>
                <w:sz w:val="16"/>
                <w:szCs w:val="16"/>
              </w:rPr>
              <w:t>Peromyscus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color w:val="3B3B3B"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color w:val="3B3B3B"/>
                <w:sz w:val="16"/>
                <w:szCs w:val="16"/>
              </w:rPr>
              <w:t>truei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Open stands of juniper grasslands and shrub-steppe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G5/S1, NSS3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Mammal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Chipmunk, Cliff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Neotamias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dorsalis</w:t>
            </w:r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Rock outcrops and cliffs in juniper woodlands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G5/S1, NSS3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Mammal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Vole, Water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Microtus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richardsoni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Moist subalpine and alpine meadows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G5/S2, NSS3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Mammal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Wolverine, North American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Gulo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gulo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Continuous, dense stands of subalpine and alpine coniferous forests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G4, N3N4, S2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Ibis, White-faced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Plegadis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chihi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Marshes, wet meadows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G5/S1B, SZN, FSR2, TBNG, NSS3, UT, MT, CO, AZ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Swan, Trumpeter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Cygnus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buccinator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Lakes, ponds, rivers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G4/S1B, S2N, FSR2, TBNG, FSR4, NSS2, ID, MT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Goshawk, Northern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Accipter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gentilis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Conifer and deciduous forests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G5/S23B, S4N,  FSR2, TBNG, FSR4, NSS4,  ID, CO, UT, MT, OR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Hawk, Ferruginous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Buteo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regalis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Basin-prairie shrub, grassland, rock outcrops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G4/S3B, S3N, FSR2, TBNG, NSS3, ID, CO, MT, CA, OR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67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Falcon, Peregrine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Falco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peregrinus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Tall cliffs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G4/T3/S1B, S2N, FSR2, TBNG, NSS3, UT, ID (Removed from Federal Endangered list 8/25/1999)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Sage-grouse, Greater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Centrocercus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urophasianus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Basin-prairie shrub, mountain-foothill shrub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G5/S3, TBNG, ID, CO, UT, CA, NV, MT (Petitioned 6/8/2002)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Cuckoo, Yellow-billed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Coccyzus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americanus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Open woodlands, streamside willow and alder groves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G5/S2B, SZN, FSR2, TBNG, NNS2, UT, ID, (Petitioned 7/25/2001)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Curlew, Long-billed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Numenius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americanus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Grasslands, plains, foothills, wet meadows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G5/S3B, SZN  FSR2, TBNG,  NSS3, ID, CO, UT, MT 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Owl, Burrowing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Athene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cunicularia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Grasslands, basin-prairie shrub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G4/S3B, SZN, FSR2, TBNG, NSS4, ID, MT, AZ, CA, OR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67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Grouse, Columbian Sharp-tailed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Tympanuchus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phasianellus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columbianus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Grasslands and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shrublands</w:t>
            </w:r>
            <w:proofErr w:type="spellEnd"/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G4/T3/S1, FSR2,  FSR4, ID, CO, UT, MT (Removed from federal petitioned list 10/11/2000)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90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Eagle, Bald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Haliaeetus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leucocephalus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Primarily along rivers, streams, lakes and waterways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G4/S3B/S5N, NSS2, FSR2, FSR4, (listed as endangered in 1967,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downlisted</w:t>
            </w:r>
            <w:proofErr w:type="spellEnd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 to threatened in 1995, delisted 28 June 2007), UT, MT (T&amp;E)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157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Plover, Mountain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Charadris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montanus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Short-grass &amp; mixed-grass prairie, openings in shrub ecosystems, prairie dog towns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G2/S2, NSS4, FSR2   (Proposed for listing as Threatened in 1999, withdrawn from proposed status in Sept 2003; Again proposed for listing as Threatened in 2010, withdrawn from proposed status in May 2011), AZ, CO, MT, UT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67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Shrike, Loggerhead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Lanius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ludovicianus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Basin-prairie shrub, mountain-foothill shrub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G5/S4B,SZN, FSR2, TBNG, ID, MT, AZ (Removed from candidate list 2/28/1996)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Sparrow, Brewer’s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Spizella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breweri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Basin-prairie shrub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G5/S3B,SZN, TBNG, PIF Priority, ID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Sparrow, Sagebrush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Amphispiza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nevadensis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Basin-prairie shrub, mountain-foothill shrub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G5/S3B,SZN,  PIF Priority, ID, MT, OR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Sparrow, Baird’s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Ammodramus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bairdii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Grasslands, weedy fields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G4/S1B, SZN, FSR2, TBNG, MT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Thrasher, Sage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Oreoscoptes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montanus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Basin-prairie shrub, mountain-foothill shrub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G5/S3B,SZN,  PIF Priority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Warbler, Black-throated gray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Setophaga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nigrescens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Breeds in pinyon-juniper woodlands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G5/S2, FS Not R2 and Not of Concern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Scrub-jay, Western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Aphelocoma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californica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Breeds in Utah juniper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G5/S1, NSS3, SGCN Tier II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Flycatcher, Ash-throated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Myiarchus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cinerascens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Breeds in Utah juniper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G5/S3B, NSS3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Titmouse, juniper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Baeolophus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ridgwayi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Utah juniper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G5/S1, NSS3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Wren,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Bewick's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Thryomanes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bewickii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Juniper woodlands 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Gnatcatcher, Blue-gray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Polioptila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caerulea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Juniper woodlands 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Falcon, Prairie</w:t>
            </w:r>
          </w:p>
        </w:tc>
        <w:tc>
          <w:tcPr>
            <w:tcW w:w="2070" w:type="dxa"/>
            <w:noWrap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Falco 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mexicanus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Open grasslands; nests in rock cliffs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Bird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Merlin</w:t>
            </w:r>
          </w:p>
        </w:tc>
        <w:tc>
          <w:tcPr>
            <w:tcW w:w="2070" w:type="dxa"/>
            <w:noWrap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Falco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columbarius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Open woodlands, savannah, grasslands, and shrub-steppe below 8,500 feet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G5, N4B, N4N, S3B, S4N, NSSU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67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Entire-Leaved Peppergrass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Lepidium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integrifolium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var.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integrifolium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WY populations occur in sparsely vegetated and seasonally wet clay flats, greasewood communities on clay hummocks, and moist alkaline meadows at 6,200-6,770'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G2G3T2T3/S1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Sidesaddle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Bladderpod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Lesquerella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arenosa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var.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agrillosa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Dry, open rock outcrops of gravel, shale, or limestone &amp; barren, often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seleniferous</w:t>
            </w:r>
            <w:proofErr w:type="spellEnd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, roadsides 4,200-4,300'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G5T4/S1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Fremont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Bladderpod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Lesquerella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fremontii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Rocky limestone slopes &amp; ridges 7,000-9,000'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G2/S2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Large-fruited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Bladderpod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Lesquerella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macrocarpa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Gypsum-clay hills &amp; benches, clay flats, &amp; barren hills 7,200-7,700'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G2/S2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Western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Bladderpod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Lesquerella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multiceps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Dry, gravelly limestone ridges &amp; slopes in sparse grasslands or cushion plant communities at 8,300-8,600'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G3/S1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90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Prostrate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Bladderpod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Lesquerella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prostrata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Cushion plant or sparse sage grassland communities on slopes and rims of whitish to reddish or gray limey clays &amp; soft sandstones with a surface layer of fine gravel at elevations of 7,200-7,700'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G2G3/S2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67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Absaroka Beardtongue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Penstemon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absarokensis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Sparsely vegetated openings on steep slopes of loose volcanic rubble or outcrops of dry andesitic volcanic rock at 5,920-10,000'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G2/S2, FSR2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Stemless Beardtongue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Penstemon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acaulis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var.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acaulis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Cushion plant or Black sage grassland communities on semi-barren rocky ridges, knolls, &amp; slopes at 5,900-8,200'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G2/S1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Gibbens</w:t>
            </w:r>
            <w:proofErr w:type="spellEnd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’ Beardtongue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Penstemon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gibbensii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Sparsely vegetated shale or sandy-clay slopes 5,500-7,700'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G1G2/S1, CO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Beaver Rim Phlox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Phlox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pungens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Sparsely vegetated slopes on sandstone, siltstone, or limestone substrates 6,000-7,400'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G3/S3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Tufted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Twinpod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Physaria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condensata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Sparsely vegetated shale slopes &amp; ridges 6,500-7,000'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G2G3/S2S3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Dorn's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Twinpod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Physaria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dornii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Dry, calcareous-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shaley</w:t>
            </w:r>
            <w:proofErr w:type="spellEnd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 soils on slopes &amp; ridges w/mountain mahogany &amp;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rabbitbrush</w:t>
            </w:r>
            <w:proofErr w:type="spellEnd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 6,500-7,200'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G1/S1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Rocky Mountain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Twinpod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Physaria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saximontana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var.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saximontana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Sparsely vegetated rocky slopes of limestone, sandstone or clay 5,600-8,300'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G3T/S3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Whitebark</w:t>
            </w:r>
            <w:proofErr w:type="spellEnd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 Pine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Pinus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albicaulis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Montane forests and on thin, rocky, cold soils at or near timberline at 1300-3700m. 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G3G4; Federal candidate, July 2011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Limber Pine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Pinus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flexilis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Mountains near timberline and at low elevation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G4/</w:t>
            </w:r>
            <w:proofErr w:type="gram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S2(</w:t>
            </w:r>
            <w:proofErr w:type="gramEnd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?)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Persistent Sepal Yellowcress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Rorippa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calycina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Riverbanks &amp; shorelines,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usu</w:t>
            </w:r>
            <w:proofErr w:type="spellEnd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 on sandy soils near high-H</w:t>
            </w:r>
            <w:r w:rsidRPr="00B31AA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O line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G3/S3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Shoshonea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Shoshonea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pulvinata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Shallow, stony calcareous soils of exposed limestone outcrops, ridgetops, &amp; talus slopes 5,900-9,200'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G3/S2, MT, USFSR2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Laramie False Sagebrush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Sphaeromeria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simplex</w:t>
            </w:r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Cushion plant communities on rocky limestone ridges &amp; gentle slopes 7,500-8,600'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G2/S2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Green River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Greenthread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Thelesperma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caespitosum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White shale slopes &amp; ridges of Green River Formation 6,300'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G2?/S1, FSR4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Uinta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Greenthread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Thelesperma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pubescens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Sparsely vegetated benches &amp; ridges on coarse,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cobbly</w:t>
            </w:r>
            <w:proofErr w:type="spellEnd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 soils of Bishop Conglomerate 8,200-8,900'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G2/S1, FSR4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Cedar Mtn. Easter Daisy 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Townsendia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microcephala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Rocky slopes of Bishop Conglomerate 8,500'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G1/S1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Barneby's</w:t>
            </w:r>
            <w:proofErr w:type="spellEnd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 Clover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Trifolium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barnebyi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Ledges, crevices, &amp; seams on reddish -cream Nugget Sandstone outcrops 5,600-6,700'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G1/S1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1A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1A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1A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San Rafael Daisy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Erigeron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compactus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var.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consimils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Windy, gravelly, sandstone ridgetops with thin rocky soils in cushion plant or open juniper communities 6400-7500'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G4G5/S1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1A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1A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1A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1710" w:type="dxa"/>
            <w:noWrap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1AA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Park Milkvetch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Astragalus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leptaleus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Sedge-grass meadows, swales and hummocks, and among streamside willows.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G4/SH</w:t>
            </w:r>
          </w:p>
        </w:tc>
        <w:tc>
          <w:tcPr>
            <w:tcW w:w="590" w:type="dxa"/>
            <w:noWrap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noWrap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noWrap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noWrap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noWrap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noWrap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noWrap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1AAB" w:rsidRPr="00B31AAB" w:rsidTr="00155B40">
        <w:trPr>
          <w:trHeight w:val="112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Fish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Chub,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Hornyhead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Nocomis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biguttatus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Lower Laramie and North Laramie River Watersheds in small to medium sized, moderate to low gradient, clear gravelly streams, </w:t>
            </w:r>
            <w:proofErr w:type="spellStart"/>
            <w:r w:rsidRPr="00B31A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prefering</w:t>
            </w:r>
            <w:proofErr w:type="spellEnd"/>
            <w:r w:rsidRPr="00B31A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pools and slow to moderate runs and is often associated with aquatic plants. Requires gravel areas free of silt for spawning.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G5/S1, NSS1, FSR2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Fish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Chub, Northern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Leatherside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Lepidomeda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copei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Bear, Snake and Green River drainages, clear, cool streams and pools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G3G4/S1, NSS1, ID, UT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Fish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Chub,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Roundtail</w:t>
            </w:r>
            <w:proofErr w:type="spellEnd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Gila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robusta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CO River drainage, mostly large rivers, also streams and lakes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G2G3/S2?, NSS1, CO, UT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Fish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Sucker,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Bluehead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Catostomus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discobolus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Bear, Snake and Green drainages, all waters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 G4/S2S3, NSS1, CO, UT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Fish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Sucker, </w:t>
            </w:r>
            <w:proofErr w:type="spellStart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>Flannelmouth</w:t>
            </w:r>
            <w:proofErr w:type="spellEnd"/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Catostomus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latipinnis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CO River drainage,  large rivers, streams and lakes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G3G4/S3, NSS1, CO, UT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67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Fish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Trout, Yellowstone Cutthroat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Oncorhynchus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clarki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bouvieri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Yellowstone drainage, small mountain streams and large rivers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G4T2/S2, FSR2, NSS3, ID, MT (Removed from petitioned list 2/23/2001)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Fish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Trout, Colorado River Cutthroat 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Oncorhynchus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clarki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pleuriticus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CO River drainage, clear mountain streams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G4T2T3/S2, FSR2, FSR4, NSS2, CO, UT, (Petitioned 12/19/1999)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67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Fish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Trout, Bonneville Cutthroat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Oncorhynchus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clarki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utah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Bear R. drainage, clear mountain streams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G4T2/S1S2, NSS2, FSR4, ID, UT, (Removed from petitioned list 10/9//2001)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Fish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Trout, Fine-spotted Snake River Cutthroat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Oncorhynchus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clarki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Snake R. drainage, clear, fast water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G4T1T2Q/S1, NSS4, FSR4, Petitioned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255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Reptile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Rattlesnake, Midget Faded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Crotalus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viridis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concolor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Mountain foothills shrub, rock outcrop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 xml:space="preserve"> G5T3/S1S2, CO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Amphibian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Frog, Northern Leopard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Rana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pipiens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Beaver ponds, permanent water in plains and foothills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G5/S3, FSR2, TBNG, NSS4, CO, ID, MT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Amphibian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Spadefoot, Great Basin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Spea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intermontana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Spring seeps, permanent and temporary waters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G5/S4, NSS4, CO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Amphibian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Toad, Boreal (Northern Rocky Mountain population)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Bufo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boreas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boreas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Pond margins, wet meadows, riparian areas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G4T4/S2,NSS2, FSR2, FSR4, UT, ID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Amphibian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Spadefoot, Plains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Spea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bombifrons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Loose, well-drained soils in floodplains, prairies, loess hills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G5/S4, NSSU, MT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31AAB" w:rsidRPr="00B31AAB" w:rsidTr="00155B40">
        <w:trPr>
          <w:trHeight w:val="450"/>
          <w:jc w:val="center"/>
        </w:trPr>
        <w:tc>
          <w:tcPr>
            <w:tcW w:w="1098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Amphibian</w:t>
            </w:r>
          </w:p>
        </w:tc>
        <w:tc>
          <w:tcPr>
            <w:tcW w:w="171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Frog, Spotted</w:t>
            </w:r>
          </w:p>
        </w:tc>
        <w:tc>
          <w:tcPr>
            <w:tcW w:w="207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Ranus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pretiosa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lutieventris</w:t>
            </w:r>
            <w:proofErr w:type="spellEnd"/>
            <w:r w:rsidRPr="00B31A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9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Ponds, sloughs, small streams</w:t>
            </w:r>
          </w:p>
        </w:tc>
        <w:tc>
          <w:tcPr>
            <w:tcW w:w="306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G4/S2S3, FSR2, FSR4, NSS4, ID, UT, MT</w:t>
            </w:r>
          </w:p>
        </w:tc>
        <w:tc>
          <w:tcPr>
            <w:tcW w:w="590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B31AAB" w:rsidRPr="00B31AAB" w:rsidRDefault="00B31AAB" w:rsidP="00B31A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1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</w:tr>
    </w:tbl>
    <w:p w:rsidR="002A3A93" w:rsidRDefault="002A3A93"/>
    <w:sectPr w:rsidR="002A3A93" w:rsidSect="00B31AA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AB"/>
    <w:rsid w:val="00155B40"/>
    <w:rsid w:val="002A3A93"/>
    <w:rsid w:val="00B31AAB"/>
    <w:rsid w:val="00D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31A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AAB"/>
    <w:rPr>
      <w:color w:val="800080"/>
      <w:u w:val="single"/>
    </w:rPr>
  </w:style>
  <w:style w:type="paragraph" w:customStyle="1" w:styleId="font5">
    <w:name w:val="font5"/>
    <w:basedOn w:val="Normal"/>
    <w:rsid w:val="00B31A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B31A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7">
    <w:name w:val="font7"/>
    <w:basedOn w:val="Normal"/>
    <w:rsid w:val="00B31A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7">
    <w:name w:val="xl67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3B3B3B"/>
      <w:sz w:val="16"/>
      <w:szCs w:val="16"/>
    </w:rPr>
  </w:style>
  <w:style w:type="paragraph" w:customStyle="1" w:styleId="xl73">
    <w:name w:val="xl73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4">
    <w:name w:val="xl74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75">
    <w:name w:val="xl75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31A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AAB"/>
    <w:rPr>
      <w:color w:val="800080"/>
      <w:u w:val="single"/>
    </w:rPr>
  </w:style>
  <w:style w:type="paragraph" w:customStyle="1" w:styleId="font5">
    <w:name w:val="font5"/>
    <w:basedOn w:val="Normal"/>
    <w:rsid w:val="00B31A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B31A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7">
    <w:name w:val="font7"/>
    <w:basedOn w:val="Normal"/>
    <w:rsid w:val="00B31A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7">
    <w:name w:val="xl67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3B3B3B"/>
      <w:sz w:val="16"/>
      <w:szCs w:val="16"/>
    </w:rPr>
  </w:style>
  <w:style w:type="paragraph" w:customStyle="1" w:styleId="xl73">
    <w:name w:val="xl73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4">
    <w:name w:val="xl74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75">
    <w:name w:val="xl75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B31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78C6-26CC-4204-BD85-3B28AB32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Keefe</dc:creator>
  <cp:lastModifiedBy>DiCerbo, Adrienne L</cp:lastModifiedBy>
  <cp:revision>2</cp:revision>
  <dcterms:created xsi:type="dcterms:W3CDTF">2016-11-08T16:11:00Z</dcterms:created>
  <dcterms:modified xsi:type="dcterms:W3CDTF">2016-11-08T16:11:00Z</dcterms:modified>
</cp:coreProperties>
</file>